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9D0" w:rsidRDefault="007879D0" w:rsidP="00FC7D3E">
      <w:pPr>
        <w:pStyle w:val="Nadpis1"/>
        <w:numPr>
          <w:ilvl w:val="0"/>
          <w:numId w:val="0"/>
        </w:numPr>
        <w:ind w:left="720" w:hanging="360"/>
      </w:pPr>
      <w:bookmarkStart w:id="0" w:name="_Toc403741281"/>
      <w:bookmarkStart w:id="1" w:name="_Toc404179347"/>
      <w:bookmarkStart w:id="2" w:name="_Toc404179420"/>
      <w:bookmarkStart w:id="3" w:name="_GoBack"/>
      <w:bookmarkEnd w:id="3"/>
      <w:r>
        <w:t xml:space="preserve">Příloha č. 4: </w:t>
      </w:r>
      <w:r w:rsidRPr="002D5A40">
        <w:t>Indikátory dopadu: Hodnocení přínosů OP</w:t>
      </w:r>
      <w:r w:rsidR="00817320">
        <w:t xml:space="preserve"> </w:t>
      </w:r>
      <w:r w:rsidRPr="002D5A40">
        <w:t>ŽP 2007-2013 pro životní prostření a lidské zdraví</w:t>
      </w:r>
      <w:bookmarkEnd w:id="0"/>
      <w:bookmarkEnd w:id="1"/>
      <w:bookmarkEnd w:id="2"/>
    </w:p>
    <w:p w:rsidR="007879D0" w:rsidRDefault="007879D0" w:rsidP="007879D0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7879D0" w:rsidRPr="002D5A40" w:rsidRDefault="007879D0" w:rsidP="007879D0">
      <w:pPr>
        <w:jc w:val="center"/>
        <w:rPr>
          <w:sz w:val="24"/>
          <w:szCs w:val="24"/>
        </w:rPr>
      </w:pPr>
    </w:p>
    <w:p w:rsidR="000155DB" w:rsidRDefault="000155DB"/>
    <w:p w:rsidR="00D47562" w:rsidRPr="00D47562" w:rsidRDefault="00D47562" w:rsidP="00D47562">
      <w:pPr>
        <w:pStyle w:val="Nadpis1"/>
        <w:numPr>
          <w:ilvl w:val="0"/>
          <w:numId w:val="0"/>
        </w:numPr>
        <w:spacing w:before="0" w:after="0" w:afterAutospacing="0" w:line="240" w:lineRule="auto"/>
        <w:ind w:left="720" w:hanging="360"/>
        <w:rPr>
          <w:rFonts w:ascii="Cambria" w:eastAsiaTheme="minorEastAsia" w:hAnsi="Cambria"/>
          <w:noProof/>
          <w:lang w:eastAsia="cs-CZ"/>
        </w:rPr>
      </w:pPr>
      <w:r>
        <w:t>Obsah</w:t>
      </w:r>
      <w:r>
        <w:fldChar w:fldCharType="begin"/>
      </w:r>
      <w:r>
        <w:instrText xml:space="preserve"> TOC \o "1-6" \h \z \u </w:instrText>
      </w:r>
      <w:r>
        <w:fldChar w:fldCharType="separate"/>
      </w:r>
    </w:p>
    <w:p w:rsidR="00D47562" w:rsidRPr="00D47562" w:rsidRDefault="004758DD" w:rsidP="00D47562">
      <w:pPr>
        <w:pStyle w:val="Obsah1"/>
        <w:tabs>
          <w:tab w:val="left" w:pos="440"/>
          <w:tab w:val="right" w:leader="dot" w:pos="9062"/>
        </w:tabs>
        <w:spacing w:after="0" w:line="240" w:lineRule="auto"/>
        <w:rPr>
          <w:rFonts w:eastAsiaTheme="minorEastAsia"/>
          <w:noProof/>
          <w:lang w:val="cs-CZ" w:eastAsia="cs-CZ"/>
        </w:rPr>
      </w:pPr>
      <w:hyperlink w:anchor="_Toc404179421" w:history="1">
        <w:r w:rsidR="00D47562" w:rsidRPr="00D47562">
          <w:rPr>
            <w:rStyle w:val="Hypertextovodkaz"/>
            <w:noProof/>
          </w:rPr>
          <w:t>1.</w:t>
        </w:r>
        <w:r w:rsidR="00D47562" w:rsidRPr="00D47562">
          <w:rPr>
            <w:rFonts w:eastAsiaTheme="minorEastAsia"/>
            <w:noProof/>
            <w:lang w:val="cs-CZ" w:eastAsia="cs-CZ"/>
          </w:rPr>
          <w:tab/>
        </w:r>
        <w:r w:rsidR="00D47562" w:rsidRPr="00D47562">
          <w:rPr>
            <w:rStyle w:val="Hypertextovodkaz"/>
            <w:noProof/>
          </w:rPr>
          <w:t>Manažerský souhrn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_Toc404179421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4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1"/>
        <w:tabs>
          <w:tab w:val="left" w:pos="440"/>
          <w:tab w:val="right" w:leader="dot" w:pos="9062"/>
        </w:tabs>
        <w:spacing w:after="0" w:line="240" w:lineRule="auto"/>
        <w:rPr>
          <w:rFonts w:eastAsiaTheme="minorEastAsia"/>
          <w:noProof/>
          <w:lang w:val="cs-CZ" w:eastAsia="cs-CZ"/>
        </w:rPr>
      </w:pPr>
      <w:hyperlink w:anchor="_Toc404179422" w:history="1">
        <w:r w:rsidR="00D47562" w:rsidRPr="00D47562">
          <w:rPr>
            <w:rStyle w:val="Hypertextovodkaz"/>
            <w:noProof/>
          </w:rPr>
          <w:t>2.</w:t>
        </w:r>
        <w:r w:rsidR="00D47562" w:rsidRPr="00D47562">
          <w:rPr>
            <w:rFonts w:eastAsiaTheme="minorEastAsia"/>
            <w:noProof/>
            <w:lang w:val="cs-CZ" w:eastAsia="cs-CZ"/>
          </w:rPr>
          <w:tab/>
        </w:r>
        <w:r w:rsidR="00D47562" w:rsidRPr="00D47562">
          <w:rPr>
            <w:rStyle w:val="Hypertextovodkaz"/>
            <w:noProof/>
          </w:rPr>
          <w:t>Úvod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_Toc404179422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7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1"/>
        <w:tabs>
          <w:tab w:val="left" w:pos="440"/>
          <w:tab w:val="right" w:leader="dot" w:pos="9062"/>
        </w:tabs>
        <w:spacing w:after="0" w:line="240" w:lineRule="auto"/>
        <w:rPr>
          <w:rFonts w:eastAsiaTheme="minorEastAsia"/>
          <w:noProof/>
          <w:lang w:val="cs-CZ" w:eastAsia="cs-CZ"/>
        </w:rPr>
      </w:pPr>
      <w:hyperlink w:anchor="_Toc404179423" w:history="1">
        <w:r w:rsidR="00D47562" w:rsidRPr="00D47562">
          <w:rPr>
            <w:rStyle w:val="Hypertextovodkaz"/>
            <w:noProof/>
          </w:rPr>
          <w:t>3.</w:t>
        </w:r>
        <w:r w:rsidR="00D47562" w:rsidRPr="00D47562">
          <w:rPr>
            <w:rFonts w:eastAsiaTheme="minorEastAsia"/>
            <w:noProof/>
            <w:lang w:val="cs-CZ" w:eastAsia="cs-CZ"/>
          </w:rPr>
          <w:tab/>
        </w:r>
        <w:r w:rsidR="00D47562" w:rsidRPr="00D47562">
          <w:rPr>
            <w:rStyle w:val="Hypertextovodkaz"/>
            <w:noProof/>
          </w:rPr>
          <w:t>Makroskopické nadstavbové indikátory dopadu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_Toc404179423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8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2"/>
        <w:tabs>
          <w:tab w:val="left" w:pos="88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24" w:history="1">
        <w:r w:rsidR="00D47562" w:rsidRPr="00D47562">
          <w:rPr>
            <w:rStyle w:val="Hypertextovodkaz"/>
            <w:noProof/>
          </w:rPr>
          <w:t>3. 1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Voda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_Toc404179424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8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25" w:history="1">
        <w:r w:rsidR="00D47562" w:rsidRPr="00D47562">
          <w:rPr>
            <w:rStyle w:val="Hypertextovodkaz"/>
            <w:rFonts w:ascii="Cambria" w:hAnsi="Cambria"/>
            <w:noProof/>
          </w:rPr>
          <w:t>3. 1. 1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Délka nových kanalizačních sítí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_Toc404179425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8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26" w:history="1">
        <w:r w:rsidR="00D47562" w:rsidRPr="00D47562">
          <w:rPr>
            <w:rStyle w:val="Hypertextovodkaz"/>
            <w:rFonts w:ascii="Cambria" w:hAnsi="Cambria"/>
            <w:noProof/>
          </w:rPr>
          <w:t>3. 1. 2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Počet nových ČOV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_Toc404179426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10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27" w:history="1">
        <w:r w:rsidR="00D47562" w:rsidRPr="00D47562">
          <w:rPr>
            <w:rStyle w:val="Hypertextovodkaz"/>
            <w:rFonts w:ascii="Cambria" w:hAnsi="Cambria"/>
            <w:noProof/>
          </w:rPr>
          <w:t>3. 1. 3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Počet obyvatel nově připojených na vyhovující ČOV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_Toc404179427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12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28" w:history="1">
        <w:r w:rsidR="00D47562" w:rsidRPr="00D47562">
          <w:rPr>
            <w:rStyle w:val="Hypertextovodkaz"/>
            <w:rFonts w:ascii="Cambria" w:hAnsi="Cambria"/>
            <w:noProof/>
          </w:rPr>
          <w:t>3. 1. 4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Odstraněné znečištění z odpadních vod v parametru BSK</w:t>
        </w:r>
        <w:r w:rsidR="00D47562" w:rsidRPr="00D47562">
          <w:rPr>
            <w:rStyle w:val="Hypertextovodkaz"/>
            <w:rFonts w:ascii="Cambria" w:hAnsi="Cambria"/>
            <w:noProof/>
            <w:vertAlign w:val="subscript"/>
          </w:rPr>
          <w:t>5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_Toc404179428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14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29" w:history="1">
        <w:r w:rsidR="00D47562" w:rsidRPr="00D47562">
          <w:rPr>
            <w:rStyle w:val="Hypertextovodkaz"/>
            <w:rFonts w:ascii="Cambria" w:hAnsi="Cambria"/>
            <w:noProof/>
          </w:rPr>
          <w:t>3. 1. 5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Odstraněné znečištění v parametru CHSK</w:t>
        </w:r>
        <w:r w:rsidR="00D47562" w:rsidRPr="00D47562">
          <w:rPr>
            <w:rStyle w:val="Hypertextovodkaz"/>
            <w:rFonts w:ascii="Cambria" w:hAnsi="Cambria"/>
            <w:noProof/>
            <w:vertAlign w:val="subscript"/>
          </w:rPr>
          <w:t>Cr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_Toc404179429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16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30" w:history="1">
        <w:r w:rsidR="00D47562" w:rsidRPr="00D47562">
          <w:rPr>
            <w:rStyle w:val="Hypertextovodkaz"/>
            <w:rFonts w:ascii="Cambria" w:hAnsi="Cambria"/>
            <w:noProof/>
          </w:rPr>
          <w:t>3. 1. 6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Odstraněné znečištění v parametru P</w:t>
        </w:r>
        <w:r w:rsidR="00D47562" w:rsidRPr="00D47562">
          <w:rPr>
            <w:rStyle w:val="Hypertextovodkaz"/>
            <w:rFonts w:ascii="Cambria" w:hAnsi="Cambria"/>
            <w:noProof/>
            <w:vertAlign w:val="subscript"/>
          </w:rPr>
          <w:t>celk.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_Toc404179430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18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31" w:history="1">
        <w:r w:rsidR="00D47562" w:rsidRPr="00D47562">
          <w:rPr>
            <w:rStyle w:val="Hypertextovodkaz"/>
            <w:rFonts w:ascii="Cambria" w:hAnsi="Cambria"/>
            <w:noProof/>
          </w:rPr>
          <w:t>3. 1. 7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Odstraněné znečištění v parametru N</w:t>
        </w:r>
        <w:r w:rsidR="00D47562" w:rsidRPr="00D47562">
          <w:rPr>
            <w:rStyle w:val="Hypertextovodkaz"/>
            <w:rFonts w:ascii="Cambria" w:hAnsi="Cambria"/>
            <w:noProof/>
            <w:vertAlign w:val="subscript"/>
          </w:rPr>
          <w:t>anorg.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_Toc404179431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20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32" w:history="1">
        <w:r w:rsidR="00D47562" w:rsidRPr="00D47562">
          <w:rPr>
            <w:rStyle w:val="Hypertextovodkaz"/>
            <w:rFonts w:ascii="Cambria" w:hAnsi="Cambria"/>
            <w:noProof/>
          </w:rPr>
          <w:t>3. 1. 8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Délka nových vodovodních sítí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_Toc404179432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22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3"/>
        <w:tabs>
          <w:tab w:val="left" w:pos="1320"/>
          <w:tab w:val="right" w:leader="dot" w:pos="9062"/>
        </w:tabs>
        <w:spacing w:after="0" w:line="240" w:lineRule="auto"/>
        <w:rPr>
          <w:rFonts w:ascii="Cambria" w:eastAsiaTheme="minorEastAsia" w:hAnsi="Cambria"/>
          <w:noProof/>
          <w:lang w:val="cs-CZ" w:eastAsia="cs-CZ"/>
        </w:rPr>
      </w:pPr>
      <w:hyperlink w:anchor="_Toc404179433" w:history="1">
        <w:r w:rsidR="00D47562" w:rsidRPr="00D47562">
          <w:rPr>
            <w:rStyle w:val="Hypertextovodkaz"/>
            <w:rFonts w:ascii="Cambria" w:hAnsi="Cambria"/>
            <w:noProof/>
          </w:rPr>
          <w:t>3. 1. 9</w:t>
        </w:r>
        <w:r w:rsidR="00D47562" w:rsidRPr="00D47562">
          <w:rPr>
            <w:rFonts w:ascii="Cambria" w:eastAsiaTheme="minorEastAsia" w:hAnsi="Cambria"/>
            <w:noProof/>
            <w:lang w:val="cs-CZ" w:eastAsia="cs-CZ"/>
          </w:rPr>
          <w:tab/>
        </w:r>
        <w:r w:rsidR="00D47562" w:rsidRPr="00D47562">
          <w:rPr>
            <w:rStyle w:val="Hypertextovodkaz"/>
            <w:rFonts w:ascii="Cambria" w:hAnsi="Cambria"/>
            <w:noProof/>
          </w:rPr>
          <w:t>Počet obyvatel nově připojených na vodovod</w:t>
        </w:r>
        <w:r w:rsidR="00D47562" w:rsidRPr="00D47562">
          <w:rPr>
            <w:rFonts w:ascii="Cambria" w:hAnsi="Cambria"/>
            <w:noProof/>
            <w:webHidden/>
          </w:rPr>
          <w:tab/>
        </w:r>
        <w:r w:rsidR="00D47562" w:rsidRPr="00D47562">
          <w:rPr>
            <w:rFonts w:ascii="Cambria" w:hAnsi="Cambria"/>
            <w:noProof/>
            <w:webHidden/>
          </w:rPr>
          <w:fldChar w:fldCharType="begin"/>
        </w:r>
        <w:r w:rsidR="00D47562" w:rsidRPr="00D47562">
          <w:rPr>
            <w:rFonts w:ascii="Cambria" w:hAnsi="Cambria"/>
            <w:noProof/>
            <w:webHidden/>
          </w:rPr>
          <w:instrText xml:space="preserve"> PAGEREF _Toc404179433 \h </w:instrText>
        </w:r>
        <w:r w:rsidR="00D47562" w:rsidRPr="00D47562">
          <w:rPr>
            <w:rFonts w:ascii="Cambria" w:hAnsi="Cambria"/>
            <w:noProof/>
            <w:webHidden/>
          </w:rPr>
        </w:r>
        <w:r w:rsidR="00D47562" w:rsidRPr="00D47562">
          <w:rPr>
            <w:rFonts w:ascii="Cambria" w:hAnsi="Cambria"/>
            <w:noProof/>
            <w:webHidden/>
          </w:rPr>
          <w:fldChar w:fldCharType="separate"/>
        </w:r>
        <w:r w:rsidR="00D47562" w:rsidRPr="00D47562">
          <w:rPr>
            <w:rFonts w:ascii="Cambria" w:hAnsi="Cambria"/>
            <w:noProof/>
            <w:webHidden/>
          </w:rPr>
          <w:t>24</w:t>
        </w:r>
        <w:r w:rsidR="00D47562" w:rsidRPr="00D47562">
          <w:rPr>
            <w:rFonts w:ascii="Cambria" w:hAnsi="Cambria"/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2"/>
        <w:tabs>
          <w:tab w:val="left" w:pos="88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34" w:history="1">
        <w:r w:rsidR="00D47562" w:rsidRPr="00D47562">
          <w:rPr>
            <w:rStyle w:val="Hypertextovodkaz"/>
            <w:noProof/>
          </w:rPr>
          <w:t>3. 2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Ovzduší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_Toc404179434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27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4"/>
        <w:tabs>
          <w:tab w:val="left" w:pos="154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35" w:history="1">
        <w:r w:rsidR="00D47562" w:rsidRPr="00D47562">
          <w:rPr>
            <w:rStyle w:val="Hypertextovodkaz"/>
            <w:noProof/>
          </w:rPr>
          <w:t>3. 2. 1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Snížení emisí TZL ze stacionárních zdrojů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_Toc404179435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27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4"/>
        <w:tabs>
          <w:tab w:val="left" w:pos="154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36" w:history="1">
        <w:r w:rsidR="00D47562" w:rsidRPr="00D47562">
          <w:rPr>
            <w:rStyle w:val="Hypertextovodkaz"/>
            <w:noProof/>
          </w:rPr>
          <w:t>3. 2. 2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Snížení emisí SO</w:t>
        </w:r>
        <w:r w:rsidR="00D47562" w:rsidRPr="00D47562">
          <w:rPr>
            <w:rStyle w:val="Hypertextovodkaz"/>
            <w:noProof/>
            <w:vertAlign w:val="subscript"/>
          </w:rPr>
          <w:t>2</w:t>
        </w:r>
        <w:r w:rsidR="00D47562" w:rsidRPr="00D47562">
          <w:rPr>
            <w:rStyle w:val="Hypertextovodkaz"/>
            <w:noProof/>
          </w:rPr>
          <w:t xml:space="preserve"> ze stacionárních zdrojů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_Toc404179436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30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4"/>
        <w:tabs>
          <w:tab w:val="left" w:pos="154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37" w:history="1">
        <w:r w:rsidR="00D47562" w:rsidRPr="00D47562">
          <w:rPr>
            <w:rStyle w:val="Hypertextovodkaz"/>
            <w:noProof/>
          </w:rPr>
          <w:t>3. 2. 3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Snížení emisí NO</w:t>
        </w:r>
        <w:r w:rsidR="00D47562" w:rsidRPr="00D47562">
          <w:rPr>
            <w:rStyle w:val="Hypertextovodkaz"/>
            <w:noProof/>
            <w:vertAlign w:val="subscript"/>
          </w:rPr>
          <w:t>X</w:t>
        </w:r>
        <w:r w:rsidR="00D47562" w:rsidRPr="00D47562">
          <w:rPr>
            <w:rStyle w:val="Hypertextovodkaz"/>
            <w:noProof/>
          </w:rPr>
          <w:t xml:space="preserve"> ze stacionárních zdrojů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_Toc404179437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33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4"/>
        <w:tabs>
          <w:tab w:val="left" w:pos="154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38" w:history="1">
        <w:r w:rsidR="00D47562" w:rsidRPr="00D47562">
          <w:rPr>
            <w:rStyle w:val="Hypertextovodkaz"/>
            <w:noProof/>
          </w:rPr>
          <w:t>3. 2. 4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Snížení emisí VOC ze stacionárních zdrojů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_Toc404179438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36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4"/>
        <w:tabs>
          <w:tab w:val="left" w:pos="154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39" w:history="1">
        <w:r w:rsidR="00D47562" w:rsidRPr="00D47562">
          <w:rPr>
            <w:rStyle w:val="Hypertextovodkaz"/>
            <w:noProof/>
          </w:rPr>
          <w:t>3. 2. 5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Snížení emisí NH</w:t>
        </w:r>
        <w:r w:rsidR="00D47562" w:rsidRPr="00D47562">
          <w:rPr>
            <w:rStyle w:val="Hypertextovodkaz"/>
            <w:noProof/>
            <w:vertAlign w:val="subscript"/>
          </w:rPr>
          <w:t>3</w:t>
        </w:r>
        <w:r w:rsidR="00D47562" w:rsidRPr="00D47562">
          <w:rPr>
            <w:rStyle w:val="Hypertextovodkaz"/>
            <w:noProof/>
          </w:rPr>
          <w:t xml:space="preserve"> ze stacionárních zdrojů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_Toc404179439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39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4"/>
        <w:tabs>
          <w:tab w:val="left" w:pos="154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40" w:history="1">
        <w:r w:rsidR="00D47562" w:rsidRPr="00D47562">
          <w:rPr>
            <w:rStyle w:val="Hypertextovodkaz"/>
            <w:noProof/>
          </w:rPr>
          <w:t>3. 2. 6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Snížení hodnoty parametru EPS pro stacionární zdroje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_Toc404179440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42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2"/>
        <w:tabs>
          <w:tab w:val="left" w:pos="88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41" w:history="1">
        <w:r w:rsidR="00D47562" w:rsidRPr="00D47562">
          <w:rPr>
            <w:rStyle w:val="Hypertextovodkaz"/>
            <w:noProof/>
          </w:rPr>
          <w:t>3. 3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Emise skleníkových plynů a energetika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_Toc404179441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45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5"/>
        <w:tabs>
          <w:tab w:val="left" w:pos="176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42" w:history="1">
        <w:r w:rsidR="00D47562" w:rsidRPr="00D47562">
          <w:rPr>
            <w:rStyle w:val="Hypertextovodkaz"/>
            <w:noProof/>
          </w:rPr>
          <w:t>3. 3. 1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Snížení spotřeby energie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_Toc404179442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45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5"/>
        <w:tabs>
          <w:tab w:val="left" w:pos="176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43" w:history="1">
        <w:r w:rsidR="00D47562" w:rsidRPr="00D47562">
          <w:rPr>
            <w:rStyle w:val="Hypertextovodkaz"/>
            <w:noProof/>
          </w:rPr>
          <w:t>3. 3. 2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Výroba tepla z OZE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_Toc404179443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47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5"/>
        <w:tabs>
          <w:tab w:val="left" w:pos="176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44" w:history="1">
        <w:r w:rsidR="00D47562" w:rsidRPr="00D47562">
          <w:rPr>
            <w:rStyle w:val="Hypertextovodkaz"/>
            <w:noProof/>
          </w:rPr>
          <w:t>3. 3. 3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Výroba elektřiny z OZE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_Toc404179444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49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5"/>
        <w:tabs>
          <w:tab w:val="left" w:pos="1540"/>
          <w:tab w:val="right" w:leader="dot" w:pos="9062"/>
        </w:tabs>
        <w:spacing w:after="0" w:afterAutospacing="0" w:line="240" w:lineRule="auto"/>
        <w:rPr>
          <w:noProof/>
        </w:rPr>
      </w:pPr>
      <w:hyperlink w:anchor="_Toc404179445" w:history="1">
        <w:r w:rsidR="00D47562" w:rsidRPr="00D47562">
          <w:rPr>
            <w:rStyle w:val="Hypertextovodkaz"/>
            <w:noProof/>
            <w:vertAlign w:val="subscript"/>
          </w:rPr>
          <w:t>3. 3. 4</w:t>
        </w:r>
        <w:r w:rsidR="00D47562" w:rsidRPr="00D47562">
          <w:rPr>
            <w:noProof/>
          </w:rPr>
          <w:tab/>
        </w:r>
        <w:r w:rsidR="00D47562" w:rsidRPr="00D47562">
          <w:rPr>
            <w:rStyle w:val="Hypertextovodkaz"/>
            <w:noProof/>
          </w:rPr>
          <w:t>Snížení emisí CO</w:t>
        </w:r>
        <w:r w:rsidR="00D47562" w:rsidRPr="00D47562">
          <w:rPr>
            <w:rStyle w:val="Hypertextovodkaz"/>
            <w:noProof/>
            <w:vertAlign w:val="subscript"/>
          </w:rPr>
          <w:t>2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_Toc404179445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51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Pr="00D47562" w:rsidRDefault="004758DD" w:rsidP="00D47562">
      <w:pPr>
        <w:pStyle w:val="Obsah1"/>
        <w:tabs>
          <w:tab w:val="left" w:pos="440"/>
          <w:tab w:val="right" w:leader="dot" w:pos="9062"/>
        </w:tabs>
        <w:spacing w:after="0" w:line="240" w:lineRule="auto"/>
        <w:rPr>
          <w:rFonts w:eastAsiaTheme="minorEastAsia"/>
          <w:noProof/>
          <w:lang w:val="cs-CZ" w:eastAsia="cs-CZ"/>
        </w:rPr>
      </w:pPr>
      <w:hyperlink w:anchor="_Toc404179446" w:history="1">
        <w:r w:rsidR="00D47562" w:rsidRPr="00D47562">
          <w:rPr>
            <w:rStyle w:val="Hypertextovodkaz"/>
            <w:noProof/>
          </w:rPr>
          <w:t>4.</w:t>
        </w:r>
        <w:r w:rsidR="00D47562" w:rsidRPr="00D47562">
          <w:rPr>
            <w:rFonts w:eastAsiaTheme="minorEastAsia"/>
            <w:noProof/>
            <w:lang w:val="cs-CZ" w:eastAsia="cs-CZ"/>
          </w:rPr>
          <w:tab/>
        </w:r>
        <w:r w:rsidR="00D47562" w:rsidRPr="00D47562">
          <w:rPr>
            <w:rStyle w:val="Hypertextovodkaz"/>
            <w:noProof/>
          </w:rPr>
          <w:t>Závěr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_Toc404179446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53</w:t>
        </w:r>
        <w:r w:rsidR="00D47562" w:rsidRPr="00D47562">
          <w:rPr>
            <w:noProof/>
            <w:webHidden/>
          </w:rPr>
          <w:fldChar w:fldCharType="end"/>
        </w:r>
      </w:hyperlink>
    </w:p>
    <w:p w:rsidR="00D47562" w:rsidRDefault="004758DD" w:rsidP="00D47562">
      <w:pPr>
        <w:pStyle w:val="Obsah1"/>
        <w:tabs>
          <w:tab w:val="left" w:pos="440"/>
          <w:tab w:val="right" w:leader="dot" w:pos="9062"/>
        </w:tabs>
        <w:spacing w:after="0" w:line="240" w:lineRule="auto"/>
        <w:rPr>
          <w:rFonts w:asciiTheme="minorHAnsi" w:eastAsiaTheme="minorEastAsia" w:hAnsiTheme="minorHAnsi"/>
          <w:noProof/>
          <w:lang w:val="cs-CZ" w:eastAsia="cs-CZ"/>
        </w:rPr>
      </w:pPr>
      <w:hyperlink w:anchor="_Toc404179447" w:history="1">
        <w:r w:rsidR="00D47562" w:rsidRPr="00D47562">
          <w:rPr>
            <w:rStyle w:val="Hypertextovodkaz"/>
            <w:noProof/>
          </w:rPr>
          <w:t>5.</w:t>
        </w:r>
        <w:r w:rsidR="00D47562" w:rsidRPr="00D47562">
          <w:rPr>
            <w:rFonts w:eastAsiaTheme="minorEastAsia"/>
            <w:noProof/>
            <w:lang w:val="cs-CZ" w:eastAsia="cs-CZ"/>
          </w:rPr>
          <w:tab/>
        </w:r>
        <w:r w:rsidR="00D47562" w:rsidRPr="00D47562">
          <w:rPr>
            <w:rStyle w:val="Hypertextovodkaz"/>
            <w:noProof/>
          </w:rPr>
          <w:t>Seznam zkratek a symbolů</w:t>
        </w:r>
        <w:r w:rsidR="00D47562" w:rsidRPr="00D47562">
          <w:rPr>
            <w:noProof/>
            <w:webHidden/>
          </w:rPr>
          <w:tab/>
        </w:r>
        <w:r w:rsidR="00D47562" w:rsidRPr="00D47562">
          <w:rPr>
            <w:noProof/>
            <w:webHidden/>
          </w:rPr>
          <w:fldChar w:fldCharType="begin"/>
        </w:r>
        <w:r w:rsidR="00D47562" w:rsidRPr="00D47562">
          <w:rPr>
            <w:noProof/>
            <w:webHidden/>
          </w:rPr>
          <w:instrText xml:space="preserve"> PAGEREF _Toc404179447 \h </w:instrText>
        </w:r>
        <w:r w:rsidR="00D47562" w:rsidRPr="00D47562">
          <w:rPr>
            <w:noProof/>
            <w:webHidden/>
          </w:rPr>
        </w:r>
        <w:r w:rsidR="00D47562" w:rsidRPr="00D47562">
          <w:rPr>
            <w:noProof/>
            <w:webHidden/>
          </w:rPr>
          <w:fldChar w:fldCharType="separate"/>
        </w:r>
        <w:r w:rsidR="00D47562" w:rsidRPr="00D47562">
          <w:rPr>
            <w:noProof/>
            <w:webHidden/>
          </w:rPr>
          <w:t>56</w:t>
        </w:r>
        <w:r w:rsidR="00D47562" w:rsidRPr="00D47562">
          <w:rPr>
            <w:noProof/>
            <w:webHidden/>
          </w:rPr>
          <w:fldChar w:fldCharType="end"/>
        </w:r>
      </w:hyperlink>
    </w:p>
    <w:p w:rsidR="007879D0" w:rsidRPr="002D5A40" w:rsidRDefault="00D47562" w:rsidP="00D47562">
      <w:pPr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:rsidR="00B22C62" w:rsidRDefault="00B22C62">
      <w:pPr>
        <w:spacing w:after="200" w:afterAutospacing="0"/>
        <w:jc w:val="left"/>
        <w:rPr>
          <w:rFonts w:asciiTheme="majorHAnsi" w:eastAsiaTheme="majorEastAsia" w:hAnsiTheme="majorHAnsi" w:cstheme="majorBidi"/>
          <w:b/>
          <w:bCs/>
          <w:color w:val="76923C" w:themeColor="accent3" w:themeShade="BF"/>
          <w:sz w:val="32"/>
          <w:szCs w:val="28"/>
          <w:lang w:eastAsia="en-US"/>
        </w:rPr>
      </w:pPr>
      <w:r>
        <w:br w:type="page"/>
      </w:r>
    </w:p>
    <w:p w:rsidR="007879D0" w:rsidRPr="002D5A40" w:rsidRDefault="007879D0" w:rsidP="007879D0">
      <w:pPr>
        <w:pStyle w:val="Nadpis1"/>
      </w:pPr>
      <w:bookmarkStart w:id="4" w:name="_Toc404179348"/>
      <w:bookmarkStart w:id="5" w:name="_Toc404179421"/>
      <w:r w:rsidRPr="00FC7D3E">
        <w:lastRenderedPageBreak/>
        <w:t>Manažerský</w:t>
      </w:r>
      <w:r w:rsidRPr="002D5A40">
        <w:t xml:space="preserve"> souhrn</w:t>
      </w:r>
      <w:bookmarkEnd w:id="4"/>
      <w:bookmarkEnd w:id="5"/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3052"/>
        <w:gridCol w:w="2098"/>
        <w:gridCol w:w="1701"/>
        <w:gridCol w:w="2268"/>
        <w:gridCol w:w="9"/>
      </w:tblGrid>
      <w:tr w:rsidR="007879D0" w:rsidRPr="002D5A40" w:rsidTr="008560C2">
        <w:tc>
          <w:tcPr>
            <w:tcW w:w="3052" w:type="dxa"/>
            <w:shd w:val="clear" w:color="auto" w:fill="C2D69B" w:themeFill="accent3" w:themeFillTint="99"/>
          </w:tcPr>
          <w:p w:rsidR="007879D0" w:rsidRPr="00FC7D3E" w:rsidRDefault="007879D0" w:rsidP="00FC7D3E">
            <w:pPr>
              <w:jc w:val="center"/>
              <w:rPr>
                <w:b/>
                <w:sz w:val="20"/>
                <w:szCs w:val="20"/>
              </w:rPr>
            </w:pPr>
            <w:r w:rsidRPr="00FC7D3E">
              <w:rPr>
                <w:b/>
                <w:sz w:val="20"/>
                <w:szCs w:val="20"/>
              </w:rPr>
              <w:t>Indikátor</w:t>
            </w:r>
          </w:p>
        </w:tc>
        <w:tc>
          <w:tcPr>
            <w:tcW w:w="2098" w:type="dxa"/>
            <w:shd w:val="clear" w:color="auto" w:fill="C2D69B" w:themeFill="accent3" w:themeFillTint="99"/>
          </w:tcPr>
          <w:p w:rsidR="007879D0" w:rsidRPr="00FC7D3E" w:rsidRDefault="007879D0" w:rsidP="00FC7D3E">
            <w:pPr>
              <w:jc w:val="center"/>
              <w:rPr>
                <w:b/>
                <w:sz w:val="20"/>
                <w:szCs w:val="20"/>
              </w:rPr>
            </w:pPr>
            <w:r w:rsidRPr="00FC7D3E">
              <w:rPr>
                <w:b/>
                <w:sz w:val="20"/>
                <w:szCs w:val="20"/>
              </w:rPr>
              <w:t>Podíl OP</w:t>
            </w:r>
            <w:r w:rsidR="00817320">
              <w:rPr>
                <w:b/>
                <w:sz w:val="20"/>
                <w:szCs w:val="20"/>
              </w:rPr>
              <w:t xml:space="preserve"> </w:t>
            </w:r>
            <w:r w:rsidRPr="00FC7D3E">
              <w:rPr>
                <w:b/>
                <w:sz w:val="20"/>
                <w:szCs w:val="20"/>
              </w:rPr>
              <w:t>ŽP na celk</w:t>
            </w:r>
            <w:r w:rsidR="00A902FF">
              <w:rPr>
                <w:b/>
                <w:sz w:val="20"/>
                <w:szCs w:val="20"/>
              </w:rPr>
              <w:t>ové národní změně 2007-</w:t>
            </w:r>
            <w:r w:rsidRPr="00FC7D3E">
              <w:rPr>
                <w:b/>
                <w:sz w:val="20"/>
                <w:szCs w:val="20"/>
              </w:rPr>
              <w:t>2013 (%)</w:t>
            </w:r>
          </w:p>
        </w:tc>
        <w:tc>
          <w:tcPr>
            <w:tcW w:w="1701" w:type="dxa"/>
            <w:shd w:val="clear" w:color="auto" w:fill="C2D69B" w:themeFill="accent3" w:themeFillTint="99"/>
          </w:tcPr>
          <w:p w:rsidR="007879D0" w:rsidRPr="00FC7D3E" w:rsidRDefault="007B3CDE" w:rsidP="00FC7D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Přínos </w:t>
            </w:r>
            <w:r w:rsidR="007879D0" w:rsidRPr="00FC7D3E">
              <w:rPr>
                <w:b/>
                <w:sz w:val="20"/>
                <w:szCs w:val="20"/>
              </w:rPr>
              <w:t>intervencí OP</w:t>
            </w:r>
            <w:r w:rsidR="00817320">
              <w:rPr>
                <w:b/>
                <w:sz w:val="20"/>
                <w:szCs w:val="20"/>
              </w:rPr>
              <w:t xml:space="preserve"> </w:t>
            </w:r>
            <w:r w:rsidR="007879D0" w:rsidRPr="00FC7D3E">
              <w:rPr>
                <w:b/>
                <w:sz w:val="20"/>
                <w:szCs w:val="20"/>
              </w:rPr>
              <w:t>ŽP na národní úrovni</w:t>
            </w:r>
          </w:p>
        </w:tc>
        <w:tc>
          <w:tcPr>
            <w:tcW w:w="2277" w:type="dxa"/>
            <w:gridSpan w:val="2"/>
            <w:shd w:val="clear" w:color="auto" w:fill="C2D69B" w:themeFill="accent3" w:themeFillTint="99"/>
          </w:tcPr>
          <w:p w:rsidR="007879D0" w:rsidRPr="00FC7D3E" w:rsidRDefault="007879D0" w:rsidP="00FC7D3E">
            <w:pPr>
              <w:jc w:val="center"/>
              <w:rPr>
                <w:b/>
                <w:sz w:val="20"/>
                <w:szCs w:val="20"/>
              </w:rPr>
            </w:pPr>
            <w:r w:rsidRPr="00FC7D3E">
              <w:rPr>
                <w:b/>
                <w:sz w:val="20"/>
                <w:szCs w:val="20"/>
              </w:rPr>
              <w:t>Poznámka</w:t>
            </w:r>
          </w:p>
        </w:tc>
      </w:tr>
      <w:tr w:rsidR="007879D0" w:rsidRPr="002D5A40" w:rsidTr="008560C2">
        <w:tc>
          <w:tcPr>
            <w:tcW w:w="9128" w:type="dxa"/>
            <w:gridSpan w:val="5"/>
            <w:shd w:val="clear" w:color="auto" w:fill="76923C" w:themeFill="accent3" w:themeFillShade="BF"/>
          </w:tcPr>
          <w:p w:rsidR="007879D0" w:rsidRPr="00120DC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120DC0">
              <w:rPr>
                <w:b/>
                <w:sz w:val="20"/>
                <w:szCs w:val="20"/>
              </w:rPr>
              <w:t>Voda</w:t>
            </w: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Délka nových kanalizačních sítí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51,3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Rozhodující</w:t>
            </w:r>
          </w:p>
        </w:tc>
        <w:tc>
          <w:tcPr>
            <w:tcW w:w="2277" w:type="dxa"/>
            <w:gridSpan w:val="2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zanedbatelný</w:t>
            </w: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nových ČOV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916496">
              <w:rPr>
                <w:b/>
                <w:sz w:val="20"/>
                <w:szCs w:val="20"/>
              </w:rPr>
              <w:t>40,7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Velmi významný</w:t>
            </w:r>
          </w:p>
        </w:tc>
        <w:tc>
          <w:tcPr>
            <w:tcW w:w="2277" w:type="dxa"/>
            <w:gridSpan w:val="2"/>
            <w:vMerge w:val="restart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obyvatel nově připojených k vyhovující ČOV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27,9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Velmi významný</w:t>
            </w:r>
          </w:p>
        </w:tc>
        <w:tc>
          <w:tcPr>
            <w:tcW w:w="2277" w:type="dxa"/>
            <w:gridSpan w:val="2"/>
            <w:vMerge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3276B0" w:rsidRDefault="007879D0" w:rsidP="007B3CDE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Odstraněné znečištění z odpadních vod v BSK</w:t>
            </w:r>
            <w:r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098" w:type="dxa"/>
            <w:vMerge w:val="restart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úrovni 100 % celkové změny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Rozhodující </w:t>
            </w:r>
          </w:p>
        </w:tc>
        <w:tc>
          <w:tcPr>
            <w:tcW w:w="2277" w:type="dxa"/>
            <w:gridSpan w:val="2"/>
            <w:vMerge w:val="restart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velmi vysoký (meziroční kolísání hodnot na národní úrovni)</w:t>
            </w: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Odstraněné znečištění z odpadních vod v CHSK</w:t>
            </w:r>
            <w:r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2098" w:type="dxa"/>
            <w:vMerge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Odstraněné znečištění z odpadních vod v P</w:t>
            </w:r>
            <w:r>
              <w:rPr>
                <w:sz w:val="20"/>
                <w:szCs w:val="20"/>
                <w:vertAlign w:val="subscript"/>
              </w:rPr>
              <w:t>celk.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D66D59" w:rsidRDefault="007879D0" w:rsidP="007B3CD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66D59">
              <w:rPr>
                <w:b/>
                <w:color w:val="000000" w:themeColor="text1"/>
                <w:sz w:val="20"/>
                <w:szCs w:val="20"/>
              </w:rPr>
              <w:t xml:space="preserve">Nelze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přesně </w:t>
            </w:r>
            <w:r w:rsidRPr="00D66D59">
              <w:rPr>
                <w:b/>
                <w:color w:val="000000" w:themeColor="text1"/>
                <w:sz w:val="20"/>
                <w:szCs w:val="20"/>
              </w:rPr>
              <w:t xml:space="preserve">vyčíslit </w:t>
            </w:r>
            <w:r w:rsidRPr="00735D50">
              <w:rPr>
                <w:color w:val="000000" w:themeColor="text1"/>
                <w:sz w:val="20"/>
                <w:szCs w:val="20"/>
              </w:rPr>
              <w:t>(cca 12 % celk</w:t>
            </w:r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735D50">
              <w:rPr>
                <w:color w:val="000000" w:themeColor="text1"/>
                <w:sz w:val="20"/>
                <w:szCs w:val="20"/>
              </w:rPr>
              <w:t>vypouštěného znečištění)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D66D59" w:rsidRDefault="007879D0" w:rsidP="007B3CD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Významný </w:t>
            </w:r>
          </w:p>
        </w:tc>
        <w:tc>
          <w:tcPr>
            <w:tcW w:w="2277" w:type="dxa"/>
            <w:gridSpan w:val="2"/>
            <w:shd w:val="clear" w:color="auto" w:fill="EAF1DD" w:themeFill="accent3" w:themeFillTint="33"/>
          </w:tcPr>
          <w:p w:rsidR="007879D0" w:rsidRPr="00D66D59" w:rsidRDefault="007879D0" w:rsidP="007B3CDE">
            <w:pPr>
              <w:rPr>
                <w:color w:val="000000" w:themeColor="text1"/>
                <w:sz w:val="20"/>
                <w:szCs w:val="20"/>
              </w:rPr>
            </w:pPr>
            <w:r w:rsidRPr="00D66D59">
              <w:rPr>
                <w:color w:val="000000" w:themeColor="text1"/>
                <w:sz w:val="20"/>
                <w:szCs w:val="20"/>
              </w:rPr>
              <w:t>Rostoucí trend na národní úrovni</w:t>
            </w: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Odstraněné znečištění z odpadních vod v N</w:t>
            </w:r>
            <w:r>
              <w:rPr>
                <w:sz w:val="20"/>
                <w:szCs w:val="20"/>
                <w:vertAlign w:val="subscript"/>
              </w:rPr>
              <w:t>anorg.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735D50" w:rsidRDefault="007879D0" w:rsidP="007B3CD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5D50">
              <w:rPr>
                <w:b/>
                <w:color w:val="000000" w:themeColor="text1"/>
                <w:sz w:val="20"/>
                <w:szCs w:val="20"/>
              </w:rPr>
              <w:t>Nelze vyčíslit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735D50" w:rsidRDefault="007879D0" w:rsidP="007B3CD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shd w:val="clear" w:color="auto" w:fill="EAF1DD" w:themeFill="accent3" w:themeFillTint="33"/>
          </w:tcPr>
          <w:p w:rsidR="007879D0" w:rsidRPr="00735D50" w:rsidRDefault="007879D0" w:rsidP="007B3CDE">
            <w:pPr>
              <w:rPr>
                <w:color w:val="000000" w:themeColor="text1"/>
                <w:sz w:val="20"/>
                <w:szCs w:val="20"/>
              </w:rPr>
            </w:pPr>
            <w:r w:rsidRPr="00735D50">
              <w:rPr>
                <w:color w:val="000000" w:themeColor="text1"/>
                <w:sz w:val="20"/>
                <w:szCs w:val="20"/>
              </w:rPr>
              <w:t>Nekompatibilita dat OP</w:t>
            </w:r>
            <w:r w:rsidR="0081732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5D50">
              <w:rPr>
                <w:color w:val="000000" w:themeColor="text1"/>
                <w:sz w:val="20"/>
                <w:szCs w:val="20"/>
              </w:rPr>
              <w:t>ŽP s daty na národní úrovni</w:t>
            </w: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Délka nových vodovodních sítí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 w:val="restart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zanedbatelný</w:t>
            </w: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obyvatel nově připojených na vodovod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9128" w:type="dxa"/>
            <w:gridSpan w:val="5"/>
            <w:shd w:val="clear" w:color="auto" w:fill="76923C" w:themeFill="accent3" w:themeFillShade="BF"/>
          </w:tcPr>
          <w:p w:rsidR="007879D0" w:rsidRPr="00120DC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120DC0">
              <w:rPr>
                <w:b/>
                <w:sz w:val="20"/>
                <w:szCs w:val="20"/>
              </w:rPr>
              <w:t>Ovzduší</w:t>
            </w: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TZL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úrovni 100 % národní změny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Rozhodující </w:t>
            </w:r>
          </w:p>
        </w:tc>
        <w:tc>
          <w:tcPr>
            <w:tcW w:w="2277" w:type="dxa"/>
            <w:gridSpan w:val="2"/>
            <w:vMerge w:val="restart"/>
            <w:vAlign w:val="center"/>
          </w:tcPr>
          <w:p w:rsidR="007879D0" w:rsidRPr="002D5A40" w:rsidRDefault="007879D0" w:rsidP="007B3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vysoký (nejistota národní emisní inventury a vliv meteorologických podmínek)</w:t>
            </w: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TZL z malých stacionárních zdrojů (REZZO3)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D66D59">
              <w:rPr>
                <w:b/>
                <w:color w:val="000000" w:themeColor="text1"/>
                <w:sz w:val="20"/>
                <w:szCs w:val="20"/>
              </w:rPr>
              <w:t xml:space="preserve">Nelze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přesně </w:t>
            </w:r>
            <w:r w:rsidRPr="00D66D59">
              <w:rPr>
                <w:b/>
                <w:color w:val="000000" w:themeColor="text1"/>
                <w:sz w:val="20"/>
                <w:szCs w:val="20"/>
              </w:rPr>
              <w:t xml:space="preserve">vyčíslit </w:t>
            </w:r>
            <w:r w:rsidRPr="00735D50">
              <w:rPr>
                <w:color w:val="000000" w:themeColor="text1"/>
                <w:sz w:val="20"/>
                <w:szCs w:val="20"/>
              </w:rPr>
              <w:t xml:space="preserve">(cca 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735D50">
              <w:rPr>
                <w:color w:val="000000" w:themeColor="text1"/>
                <w:sz w:val="20"/>
                <w:szCs w:val="20"/>
              </w:rPr>
              <w:t xml:space="preserve"> % celk</w:t>
            </w:r>
            <w:r w:rsidR="007B3CDE">
              <w:rPr>
                <w:color w:val="000000" w:themeColor="text1"/>
                <w:sz w:val="20"/>
                <w:szCs w:val="20"/>
              </w:rPr>
              <w:t xml:space="preserve">ových </w:t>
            </w:r>
            <w:r>
              <w:rPr>
                <w:color w:val="000000" w:themeColor="text1"/>
                <w:sz w:val="20"/>
                <w:szCs w:val="20"/>
              </w:rPr>
              <w:t>emisí</w:t>
            </w:r>
            <w:r w:rsidRPr="00735D50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Významný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SO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SO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z malých stacionárních zdrojů (REZZO3) 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22,4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Velmi významný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NO</w:t>
            </w:r>
            <w:r>
              <w:rPr>
                <w:sz w:val="20"/>
                <w:szCs w:val="20"/>
                <w:vertAlign w:val="subscript"/>
              </w:rPr>
              <w:t>X</w:t>
            </w:r>
            <w:r>
              <w:rPr>
                <w:sz w:val="20"/>
                <w:szCs w:val="20"/>
              </w:rPr>
              <w:t xml:space="preserve">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NO</w:t>
            </w:r>
            <w:r>
              <w:rPr>
                <w:sz w:val="20"/>
                <w:szCs w:val="20"/>
                <w:vertAlign w:val="subscript"/>
              </w:rPr>
              <w:t>X</w:t>
            </w:r>
            <w:r>
              <w:rPr>
                <w:sz w:val="20"/>
                <w:szCs w:val="20"/>
              </w:rPr>
              <w:t xml:space="preserve"> z malých stacionárních zdrojů (REZZO3)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Rozhodující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VOC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1,5 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Default="007B3CDE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VOC z malých</w:t>
            </w:r>
            <w:r w:rsidR="007879D0">
              <w:rPr>
                <w:sz w:val="20"/>
                <w:szCs w:val="20"/>
              </w:rPr>
              <w:t xml:space="preserve"> stacionárních zdrojů (REZZO 3)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NH</w:t>
            </w:r>
            <w:r>
              <w:rPr>
                <w:sz w:val="20"/>
                <w:szCs w:val="20"/>
                <w:vertAlign w:val="subscript"/>
              </w:rPr>
              <w:t>3</w:t>
            </w:r>
            <w:r>
              <w:rPr>
                <w:sz w:val="20"/>
                <w:szCs w:val="20"/>
              </w:rPr>
              <w:t xml:space="preserve">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A61A59" w:rsidRDefault="007879D0" w:rsidP="007B3CD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61A59">
              <w:rPr>
                <w:b/>
                <w:color w:val="000000" w:themeColor="text1"/>
                <w:sz w:val="20"/>
                <w:szCs w:val="20"/>
              </w:rPr>
              <w:t>Nelze vyčíslit</w:t>
            </w:r>
            <w:r w:rsidRPr="00A61A5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Pr="00A61A59">
              <w:rPr>
                <w:color w:val="000000" w:themeColor="text1"/>
                <w:sz w:val="20"/>
                <w:szCs w:val="20"/>
              </w:rPr>
              <w:t>Rostoucí trend emisí na národní úrovni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A61A59" w:rsidRDefault="007879D0" w:rsidP="007B3CD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/>
          </w:tcPr>
          <w:p w:rsidR="007879D0" w:rsidRPr="00A61A59" w:rsidRDefault="007879D0" w:rsidP="007B3CDE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hodnoty indikátoru EPS u stacionárních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hodnoty indikátoru EPS u malých stac. Zdrojů (REZZO3)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Nelze vyčíslit (rostoucí trend národní hodnoty)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c>
          <w:tcPr>
            <w:tcW w:w="9128" w:type="dxa"/>
            <w:gridSpan w:val="5"/>
            <w:shd w:val="clear" w:color="auto" w:fill="76923C" w:themeFill="accent3" w:themeFillShade="BF"/>
          </w:tcPr>
          <w:p w:rsidR="007879D0" w:rsidRPr="00120DC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120DC0">
              <w:rPr>
                <w:b/>
                <w:sz w:val="20"/>
                <w:szCs w:val="20"/>
              </w:rPr>
              <w:t>Emise skleníkových plynů a energetika</w:t>
            </w:r>
          </w:p>
        </w:tc>
      </w:tr>
      <w:tr w:rsidR="007879D0" w:rsidRPr="002D5A40" w:rsidTr="008560C2">
        <w:trPr>
          <w:gridAfter w:val="1"/>
          <w:wAfter w:w="9" w:type="dxa"/>
        </w:trPr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spotřeby energie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0,13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  <w:tc>
          <w:tcPr>
            <w:tcW w:w="2268" w:type="dxa"/>
            <w:vMerge w:val="restart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nezanedbatelný (vliv meteorologických podmínek)</w:t>
            </w:r>
          </w:p>
        </w:tc>
      </w:tr>
      <w:tr w:rsidR="007879D0" w:rsidRPr="002D5A40" w:rsidTr="008560C2">
        <w:trPr>
          <w:gridAfter w:val="1"/>
          <w:wAfter w:w="9" w:type="dxa"/>
        </w:trPr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Výroba tepla z OZE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0,31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  <w:tc>
          <w:tcPr>
            <w:tcW w:w="2268" w:type="dxa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rPr>
          <w:gridAfter w:val="1"/>
          <w:wAfter w:w="9" w:type="dxa"/>
        </w:trPr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Výroba elektřiny z OZE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0,02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  <w:tc>
          <w:tcPr>
            <w:tcW w:w="2268" w:type="dxa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8560C2">
        <w:trPr>
          <w:gridAfter w:val="1"/>
          <w:wAfter w:w="9" w:type="dxa"/>
        </w:trPr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oxidu uhličitého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0,44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  <w:tc>
          <w:tcPr>
            <w:tcW w:w="2268" w:type="dxa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</w:tbl>
    <w:p w:rsidR="007879D0" w:rsidRDefault="007879D0" w:rsidP="007879D0">
      <w:pPr>
        <w:rPr>
          <w:b/>
        </w:rPr>
      </w:pPr>
    </w:p>
    <w:p w:rsidR="007879D0" w:rsidRPr="002D5A40" w:rsidRDefault="007879D0" w:rsidP="00FC7D3E">
      <w:pPr>
        <w:spacing w:after="0" w:afterAutospacing="0"/>
        <w:rPr>
          <w:b/>
        </w:rPr>
      </w:pPr>
      <w:r>
        <w:rPr>
          <w:b/>
        </w:rPr>
        <w:lastRenderedPageBreak/>
        <w:t>Z tabulky vyplývají</w:t>
      </w:r>
      <w:r w:rsidRPr="002D5A40">
        <w:rPr>
          <w:b/>
        </w:rPr>
        <w:t xml:space="preserve"> následující závěry:</w:t>
      </w:r>
    </w:p>
    <w:p w:rsidR="007879D0" w:rsidRPr="00D77C18" w:rsidRDefault="007879D0" w:rsidP="00FC7D3E">
      <w:pPr>
        <w:pStyle w:val="Odstavecseseznamem"/>
        <w:numPr>
          <w:ilvl w:val="0"/>
          <w:numId w:val="22"/>
        </w:numPr>
        <w:spacing w:line="259" w:lineRule="auto"/>
      </w:pPr>
      <w:r w:rsidRPr="00D77C18">
        <w:t>Z </w:t>
      </w:r>
      <w:r>
        <w:t>24</w:t>
      </w:r>
      <w:r w:rsidRPr="00D77C18">
        <w:t xml:space="preserve"> sledovaných indikátorů lze </w:t>
      </w:r>
      <w:r>
        <w:t>21</w:t>
      </w:r>
      <w:r w:rsidRPr="00D77C18">
        <w:t xml:space="preserve"> využít k hodnocení přínosu OP</w:t>
      </w:r>
      <w:r w:rsidR="00817320">
        <w:t xml:space="preserve"> </w:t>
      </w:r>
      <w:r w:rsidRPr="00D77C18">
        <w:t>ŽP v národním kontextu,</w:t>
      </w:r>
    </w:p>
    <w:p w:rsidR="007879D0" w:rsidRPr="00D77C18" w:rsidRDefault="007879D0" w:rsidP="007879D0">
      <w:pPr>
        <w:pStyle w:val="Odstavecseseznamem"/>
        <w:numPr>
          <w:ilvl w:val="0"/>
          <w:numId w:val="22"/>
        </w:numPr>
        <w:spacing w:after="160" w:line="259" w:lineRule="auto"/>
      </w:pPr>
      <w:r w:rsidRPr="00D77C18">
        <w:t xml:space="preserve">Ve </w:t>
      </w:r>
      <w:r>
        <w:t>dvou</w:t>
      </w:r>
      <w:r w:rsidRPr="00D77C18">
        <w:t xml:space="preserve"> případech (Snížení emisí </w:t>
      </w:r>
      <w:r w:rsidRPr="000A6F71">
        <w:t>NH</w:t>
      </w:r>
      <w:r w:rsidRPr="000A6F71">
        <w:rPr>
          <w:vertAlign w:val="subscript"/>
        </w:rPr>
        <w:t>3</w:t>
      </w:r>
      <w:r w:rsidRPr="000A6F71">
        <w:t xml:space="preserve"> ze stacionárních zdrojů</w:t>
      </w:r>
      <w:r>
        <w:t>,</w:t>
      </w:r>
      <w:r w:rsidRPr="00EC4CDE">
        <w:t xml:space="preserve"> Snížení hodno</w:t>
      </w:r>
      <w:r>
        <w:t>ty indikátoru EPS u malých stacionárních z</w:t>
      </w:r>
      <w:r w:rsidRPr="00EC4CDE">
        <w:t>drojů</w:t>
      </w:r>
      <w:r w:rsidRPr="000A6F71">
        <w:t>) nelze přínos OP</w:t>
      </w:r>
      <w:r w:rsidR="00817320">
        <w:t xml:space="preserve"> </w:t>
      </w:r>
      <w:r w:rsidRPr="000A6F71">
        <w:t>ŽP vyhodnotit vzhledem k negativnímu vývoji</w:t>
      </w:r>
      <w:r w:rsidRPr="00D77C18">
        <w:t xml:space="preserve"> sledované veličiny na národní úrovni,</w:t>
      </w:r>
    </w:p>
    <w:p w:rsidR="007879D0" w:rsidRPr="00D77C18" w:rsidRDefault="007879D0" w:rsidP="007879D0">
      <w:pPr>
        <w:pStyle w:val="Odstavecseseznamem"/>
        <w:numPr>
          <w:ilvl w:val="0"/>
          <w:numId w:val="22"/>
        </w:numPr>
        <w:spacing w:after="160" w:line="259" w:lineRule="auto"/>
      </w:pPr>
      <w:r w:rsidRPr="00D77C18">
        <w:t>V jednom případě (</w:t>
      </w:r>
      <w:r>
        <w:t>O</w:t>
      </w:r>
      <w:r w:rsidRPr="00D77C18">
        <w:t>dstranění sl</w:t>
      </w:r>
      <w:r>
        <w:t>oučenin dusíku z odpadních vod)</w:t>
      </w:r>
      <w:r w:rsidRPr="00D77C18">
        <w:t xml:space="preserve"> nelze přínos OPŽP vyhodnotit vzhledem k nekompatibilitě dat</w:t>
      </w:r>
      <w:r>
        <w:t xml:space="preserve"> sledovaných v rámci OP</w:t>
      </w:r>
      <w:r w:rsidR="00817320">
        <w:t xml:space="preserve"> </w:t>
      </w:r>
      <w:r>
        <w:t>ŽP</w:t>
      </w:r>
      <w:r w:rsidRPr="00D77C18">
        <w:t xml:space="preserve"> s daty </w:t>
      </w:r>
      <w:r>
        <w:t xml:space="preserve">sledovanými </w:t>
      </w:r>
      <w:r w:rsidRPr="00D77C18">
        <w:t>na národní úrovni</w:t>
      </w:r>
      <w:r>
        <w:t>.</w:t>
      </w:r>
    </w:p>
    <w:p w:rsidR="007879D0" w:rsidRDefault="007879D0" w:rsidP="00FC7D3E">
      <w:pPr>
        <w:spacing w:after="0" w:afterAutospacing="0"/>
      </w:pPr>
      <w:r w:rsidRPr="00EC4CDE">
        <w:rPr>
          <w:b/>
        </w:rPr>
        <w:t>Rozhodující přínos OP</w:t>
      </w:r>
      <w:r w:rsidR="00817320">
        <w:rPr>
          <w:b/>
        </w:rPr>
        <w:t xml:space="preserve"> </w:t>
      </w:r>
      <w:r w:rsidRPr="00EC4CDE">
        <w:rPr>
          <w:b/>
        </w:rPr>
        <w:t xml:space="preserve">ŽP </w:t>
      </w:r>
      <w:r w:rsidRPr="00EC4CDE">
        <w:t>k pozitivní změně na</w:t>
      </w:r>
      <w:r w:rsidR="00B17940">
        <w:t xml:space="preserve"> národní úrovni v období 2007-</w:t>
      </w:r>
      <w:r w:rsidRPr="00EC4CDE">
        <w:t>2013 (</w:t>
      </w:r>
      <w:r w:rsidRPr="00EC4CDE">
        <w:rPr>
          <w:b/>
        </w:rPr>
        <w:t>více než 50 %</w:t>
      </w:r>
      <w:r w:rsidRPr="00EC4CDE">
        <w:t xml:space="preserve">) </w:t>
      </w:r>
      <w:r w:rsidRPr="00EC4CDE">
        <w:rPr>
          <w:b/>
        </w:rPr>
        <w:t>lze s vysokou mírou jistoty konstatovat</w:t>
      </w:r>
      <w:r>
        <w:t xml:space="preserve"> v případě</w:t>
      </w:r>
      <w:r w:rsidRPr="00EC4CDE">
        <w:t xml:space="preserve"> indikátoru</w:t>
      </w:r>
      <w:r>
        <w:t>:</w:t>
      </w:r>
    </w:p>
    <w:p w:rsidR="007879D0" w:rsidRDefault="007879D0" w:rsidP="00FC7D3E">
      <w:pPr>
        <w:pStyle w:val="Odstavecseseznamem"/>
        <w:numPr>
          <w:ilvl w:val="0"/>
          <w:numId w:val="38"/>
        </w:numPr>
        <w:spacing w:line="259" w:lineRule="auto"/>
        <w:rPr>
          <w:b/>
        </w:rPr>
      </w:pPr>
      <w:r w:rsidRPr="00AB037B">
        <w:t xml:space="preserve"> </w:t>
      </w:r>
      <w:r w:rsidRPr="00AB037B">
        <w:rPr>
          <w:b/>
        </w:rPr>
        <w:t>Délka nových kanalizačních sítí</w:t>
      </w:r>
    </w:p>
    <w:p w:rsidR="007B3CDE" w:rsidRPr="00AB037B" w:rsidRDefault="007B3CDE" w:rsidP="00FC7D3E">
      <w:pPr>
        <w:pStyle w:val="Odstavecseseznamem"/>
        <w:spacing w:line="259" w:lineRule="auto"/>
        <w:rPr>
          <w:b/>
        </w:rPr>
      </w:pPr>
    </w:p>
    <w:p w:rsidR="007879D0" w:rsidRPr="00EC4CDE" w:rsidRDefault="007879D0" w:rsidP="00FC7D3E">
      <w:pPr>
        <w:spacing w:after="0" w:afterAutospacing="0"/>
        <w:rPr>
          <w:b/>
        </w:rPr>
      </w:pPr>
      <w:r>
        <w:rPr>
          <w:b/>
        </w:rPr>
        <w:t>Rozhodující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EC4CDE">
        <w:t>k pozitivní změně na národní úrovni</w:t>
      </w:r>
      <w:r>
        <w:rPr>
          <w:b/>
        </w:rPr>
        <w:t xml:space="preserve"> </w:t>
      </w:r>
      <w:r w:rsidR="00B17940">
        <w:t>v období 2007-</w:t>
      </w:r>
      <w:r w:rsidRPr="00EC4CDE">
        <w:t>2013</w:t>
      </w:r>
      <w:r>
        <w:rPr>
          <w:b/>
        </w:rPr>
        <w:t xml:space="preserve"> (více než 50 %) je s vědomím nejistoty národních dat pravděpodobný </w:t>
      </w:r>
      <w:r w:rsidRPr="00EC4CDE">
        <w:t>v případě indikátorů</w:t>
      </w:r>
      <w:r>
        <w:rPr>
          <w:b/>
        </w:rPr>
        <w:t>:</w:t>
      </w:r>
    </w:p>
    <w:p w:rsidR="007879D0" w:rsidRPr="00EC4CDE" w:rsidRDefault="007879D0" w:rsidP="00FC7D3E">
      <w:pPr>
        <w:pStyle w:val="Odstavecseseznamem"/>
        <w:numPr>
          <w:ilvl w:val="0"/>
          <w:numId w:val="36"/>
        </w:numPr>
        <w:spacing w:line="259" w:lineRule="auto"/>
        <w:rPr>
          <w:b/>
        </w:rPr>
      </w:pPr>
      <w:r w:rsidRPr="00EC4CDE">
        <w:rPr>
          <w:b/>
        </w:rPr>
        <w:t>Odstraněné znečištění z odpadních vod v parametru BSK</w:t>
      </w:r>
      <w:r w:rsidRPr="00EC4CDE">
        <w:rPr>
          <w:b/>
          <w:vertAlign w:val="subscript"/>
        </w:rPr>
        <w:t>5.</w:t>
      </w:r>
    </w:p>
    <w:p w:rsidR="007879D0" w:rsidRPr="00D77C18" w:rsidRDefault="007879D0" w:rsidP="007879D0">
      <w:pPr>
        <w:pStyle w:val="Odstavecseseznamem"/>
        <w:numPr>
          <w:ilvl w:val="0"/>
          <w:numId w:val="36"/>
        </w:numPr>
        <w:spacing w:after="160" w:line="259" w:lineRule="auto"/>
        <w:rPr>
          <w:b/>
        </w:rPr>
      </w:pPr>
      <w:r w:rsidRPr="00D77C18">
        <w:rPr>
          <w:b/>
        </w:rPr>
        <w:t>Odstraněné znečištění z odpadních vod v parametru CHSK</w:t>
      </w:r>
      <w:r w:rsidRPr="00D77C18">
        <w:rPr>
          <w:b/>
          <w:vertAlign w:val="subscript"/>
        </w:rPr>
        <w:t>5Cr</w:t>
      </w:r>
    </w:p>
    <w:p w:rsidR="007879D0" w:rsidRDefault="007879D0" w:rsidP="007879D0">
      <w:pPr>
        <w:pStyle w:val="Odstavecseseznamem"/>
        <w:numPr>
          <w:ilvl w:val="0"/>
          <w:numId w:val="36"/>
        </w:numPr>
        <w:spacing w:after="160" w:line="259" w:lineRule="auto"/>
        <w:rPr>
          <w:b/>
        </w:rPr>
      </w:pPr>
      <w:r w:rsidRPr="007B699C">
        <w:rPr>
          <w:b/>
        </w:rPr>
        <w:t>Snížení emisí TZL ze stacionárních zdrojů</w:t>
      </w:r>
      <w:r>
        <w:rPr>
          <w:b/>
        </w:rPr>
        <w:t xml:space="preserve"> </w:t>
      </w:r>
    </w:p>
    <w:p w:rsidR="007879D0" w:rsidRDefault="007879D0" w:rsidP="007879D0">
      <w:pPr>
        <w:pStyle w:val="Odstavecseseznamem"/>
        <w:numPr>
          <w:ilvl w:val="0"/>
          <w:numId w:val="36"/>
        </w:numPr>
        <w:spacing w:after="160" w:line="259" w:lineRule="auto"/>
        <w:rPr>
          <w:b/>
        </w:rPr>
      </w:pPr>
      <w:r>
        <w:rPr>
          <w:b/>
        </w:rPr>
        <w:t>Snížení emisí NO</w:t>
      </w:r>
      <w:r>
        <w:rPr>
          <w:b/>
          <w:vertAlign w:val="subscript"/>
        </w:rPr>
        <w:t>X</w:t>
      </w:r>
      <w:r>
        <w:rPr>
          <w:b/>
        </w:rPr>
        <w:t xml:space="preserve"> z malých stacionárních zdrojů</w:t>
      </w:r>
    </w:p>
    <w:p w:rsidR="007B3CDE" w:rsidRDefault="007B3CDE" w:rsidP="00FC7D3E">
      <w:pPr>
        <w:pStyle w:val="Odstavecseseznamem"/>
        <w:spacing w:after="160" w:line="259" w:lineRule="auto"/>
        <w:rPr>
          <w:b/>
        </w:rPr>
      </w:pPr>
    </w:p>
    <w:p w:rsidR="007879D0" w:rsidRPr="00D77C18" w:rsidRDefault="007879D0" w:rsidP="00FC7D3E">
      <w:pPr>
        <w:spacing w:after="0" w:afterAutospacing="0"/>
      </w:pPr>
      <w:r>
        <w:rPr>
          <w:b/>
        </w:rPr>
        <w:t>Velmi významný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D77C18">
        <w:t>k pozitivní změně na národní úrovni v období 2007 - 2012</w:t>
      </w:r>
      <w:r>
        <w:rPr>
          <w:b/>
        </w:rPr>
        <w:t xml:space="preserve">  (20 až 50 %) </w:t>
      </w:r>
      <w:r w:rsidRPr="00D77C18">
        <w:t>lze konstatovat v případě indikátorů:</w:t>
      </w:r>
    </w:p>
    <w:p w:rsidR="007879D0" w:rsidRDefault="007879D0" w:rsidP="00FC7D3E">
      <w:pPr>
        <w:pStyle w:val="Odstavecseseznamem"/>
        <w:numPr>
          <w:ilvl w:val="0"/>
          <w:numId w:val="24"/>
        </w:numPr>
        <w:spacing w:line="259" w:lineRule="auto"/>
        <w:rPr>
          <w:b/>
        </w:rPr>
      </w:pPr>
      <w:r w:rsidRPr="00D77C18">
        <w:rPr>
          <w:b/>
        </w:rPr>
        <w:t>Počet nových ČOV</w:t>
      </w:r>
    </w:p>
    <w:p w:rsidR="007879D0" w:rsidRDefault="007879D0" w:rsidP="007879D0">
      <w:pPr>
        <w:pStyle w:val="Odstavecseseznamem"/>
        <w:numPr>
          <w:ilvl w:val="0"/>
          <w:numId w:val="24"/>
        </w:numPr>
        <w:spacing w:after="160" w:line="259" w:lineRule="auto"/>
        <w:rPr>
          <w:b/>
        </w:rPr>
      </w:pPr>
      <w:r w:rsidRPr="00EC4CDE">
        <w:rPr>
          <w:b/>
        </w:rPr>
        <w:t>Počet obyvatel nově připojených k vyhovující ČOV</w:t>
      </w:r>
    </w:p>
    <w:p w:rsidR="007B3CDE" w:rsidRPr="00EC4CDE" w:rsidRDefault="007B3CDE" w:rsidP="00FC7D3E">
      <w:pPr>
        <w:pStyle w:val="Odstavecseseznamem"/>
        <w:spacing w:after="160" w:line="259" w:lineRule="auto"/>
        <w:rPr>
          <w:b/>
        </w:rPr>
      </w:pPr>
    </w:p>
    <w:p w:rsidR="007879D0" w:rsidRPr="00D77C18" w:rsidRDefault="007879D0" w:rsidP="00FC7D3E">
      <w:pPr>
        <w:spacing w:after="0" w:afterAutospacing="0"/>
      </w:pPr>
      <w:r>
        <w:rPr>
          <w:b/>
        </w:rPr>
        <w:t>Velmi významný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D77C18">
        <w:t>k pozitivní změně na národní úrovni v období 2007 - 2012</w:t>
      </w:r>
      <w:r>
        <w:rPr>
          <w:b/>
        </w:rPr>
        <w:t xml:space="preserve">  (20 až 50 %) je s vědomím nejistoty národních dat pravděpodobný </w:t>
      </w:r>
      <w:r w:rsidRPr="00D77C18">
        <w:t>v případě indikátor</w:t>
      </w:r>
      <w:r>
        <w:t>u</w:t>
      </w:r>
      <w:r w:rsidRPr="00D77C18">
        <w:t>:</w:t>
      </w:r>
    </w:p>
    <w:p w:rsidR="007B3CDE" w:rsidRDefault="007879D0" w:rsidP="00FC7D3E">
      <w:pPr>
        <w:pStyle w:val="Odstavecseseznamem"/>
        <w:numPr>
          <w:ilvl w:val="0"/>
          <w:numId w:val="24"/>
        </w:numPr>
        <w:spacing w:line="259" w:lineRule="auto"/>
        <w:rPr>
          <w:b/>
        </w:rPr>
      </w:pPr>
      <w:r w:rsidRPr="00AB037B">
        <w:rPr>
          <w:b/>
        </w:rPr>
        <w:t>Snížení emisí SO</w:t>
      </w:r>
      <w:r w:rsidRPr="00AB037B">
        <w:rPr>
          <w:b/>
          <w:vertAlign w:val="subscript"/>
        </w:rPr>
        <w:t>2</w:t>
      </w:r>
      <w:r w:rsidRPr="00AB037B">
        <w:rPr>
          <w:b/>
        </w:rPr>
        <w:t xml:space="preserve"> z malých stacionárních zdrojů (REZZO3)</w:t>
      </w:r>
    </w:p>
    <w:p w:rsidR="007879D0" w:rsidRPr="00AB037B" w:rsidRDefault="007879D0" w:rsidP="00FC7D3E">
      <w:pPr>
        <w:pStyle w:val="Odstavecseseznamem"/>
        <w:spacing w:line="259" w:lineRule="auto"/>
        <w:rPr>
          <w:b/>
        </w:rPr>
      </w:pPr>
      <w:r w:rsidRPr="00AB037B">
        <w:rPr>
          <w:b/>
        </w:rPr>
        <w:t xml:space="preserve"> </w:t>
      </w:r>
    </w:p>
    <w:p w:rsidR="007879D0" w:rsidRDefault="007879D0" w:rsidP="00FC7D3E">
      <w:pPr>
        <w:spacing w:after="0" w:afterAutospacing="0"/>
      </w:pPr>
      <w:r>
        <w:rPr>
          <w:b/>
        </w:rPr>
        <w:t>Významný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D77C18">
        <w:t>k pozitivní změně na národní úrovni v období 2007 - 2012</w:t>
      </w:r>
      <w:r>
        <w:rPr>
          <w:b/>
        </w:rPr>
        <w:t xml:space="preserve">  (5 až 20 %) </w:t>
      </w:r>
      <w:r w:rsidRPr="00D77C18">
        <w:t xml:space="preserve">lze </w:t>
      </w:r>
      <w:r>
        <w:t>konstatovat v případě indikátoru:</w:t>
      </w:r>
    </w:p>
    <w:p w:rsidR="007879D0" w:rsidRDefault="007879D0" w:rsidP="00FC7D3E">
      <w:pPr>
        <w:pStyle w:val="Odstavecseseznamem"/>
        <w:numPr>
          <w:ilvl w:val="0"/>
          <w:numId w:val="26"/>
        </w:numPr>
        <w:spacing w:line="259" w:lineRule="auto"/>
        <w:rPr>
          <w:b/>
        </w:rPr>
      </w:pPr>
      <w:r w:rsidRPr="00D77C18">
        <w:rPr>
          <w:b/>
        </w:rPr>
        <w:t>Délka nových vodovodních sítí</w:t>
      </w:r>
    </w:p>
    <w:p w:rsidR="007B3CDE" w:rsidRPr="00D77C18" w:rsidRDefault="007B3CDE" w:rsidP="00FC7D3E">
      <w:pPr>
        <w:pStyle w:val="Odstavecseseznamem"/>
        <w:spacing w:line="259" w:lineRule="auto"/>
        <w:rPr>
          <w:b/>
        </w:rPr>
      </w:pPr>
    </w:p>
    <w:p w:rsidR="007879D0" w:rsidRPr="008A61B7" w:rsidRDefault="007879D0" w:rsidP="00FC7D3E">
      <w:pPr>
        <w:spacing w:after="0" w:afterAutospacing="0"/>
      </w:pPr>
      <w:r w:rsidRPr="008A61B7">
        <w:rPr>
          <w:b/>
        </w:rPr>
        <w:t>Významný přínos OP</w:t>
      </w:r>
      <w:r w:rsidR="00817320">
        <w:rPr>
          <w:b/>
        </w:rPr>
        <w:t xml:space="preserve"> </w:t>
      </w:r>
      <w:r w:rsidRPr="008A61B7">
        <w:rPr>
          <w:b/>
        </w:rPr>
        <w:t xml:space="preserve">ŽP </w:t>
      </w:r>
      <w:r w:rsidRPr="008A61B7">
        <w:t>k pozitivní změně na národní úrovni v období 2007 - 2012</w:t>
      </w:r>
      <w:r w:rsidR="007B3CDE">
        <w:rPr>
          <w:b/>
        </w:rPr>
        <w:t xml:space="preserve">  (5 až 20 %)</w:t>
      </w:r>
      <w:r w:rsidRPr="008A61B7">
        <w:t xml:space="preserve"> </w:t>
      </w:r>
      <w:r>
        <w:rPr>
          <w:b/>
        </w:rPr>
        <w:t xml:space="preserve">je s vědomím nejistoty národních dat pravděpodobný </w:t>
      </w:r>
      <w:r w:rsidRPr="008A61B7">
        <w:t>v případě indikátor</w:t>
      </w:r>
      <w:r>
        <w:t>ů</w:t>
      </w:r>
      <w:r w:rsidRPr="008A61B7">
        <w:t>:</w:t>
      </w:r>
    </w:p>
    <w:p w:rsidR="007879D0" w:rsidRPr="008A61B7" w:rsidRDefault="007879D0" w:rsidP="00FC7D3E">
      <w:pPr>
        <w:pStyle w:val="Odstavecseseznamem"/>
        <w:numPr>
          <w:ilvl w:val="0"/>
          <w:numId w:val="39"/>
        </w:numPr>
        <w:spacing w:line="259" w:lineRule="auto"/>
        <w:rPr>
          <w:b/>
        </w:rPr>
      </w:pPr>
      <w:r w:rsidRPr="008A61B7">
        <w:rPr>
          <w:b/>
        </w:rPr>
        <w:t>Odstraněné znečištění z odpadních vod v P</w:t>
      </w:r>
      <w:r w:rsidRPr="008A61B7">
        <w:rPr>
          <w:b/>
          <w:vertAlign w:val="subscript"/>
        </w:rPr>
        <w:t>celk.</w:t>
      </w:r>
    </w:p>
    <w:p w:rsidR="007879D0" w:rsidRDefault="007879D0" w:rsidP="007879D0">
      <w:pPr>
        <w:pStyle w:val="Odstavecseseznamem"/>
        <w:numPr>
          <w:ilvl w:val="0"/>
          <w:numId w:val="39"/>
        </w:numPr>
        <w:spacing w:after="160" w:line="259" w:lineRule="auto"/>
        <w:rPr>
          <w:b/>
        </w:rPr>
      </w:pPr>
      <w:r w:rsidRPr="008A61B7">
        <w:rPr>
          <w:b/>
        </w:rPr>
        <w:t>Snížení emisí TZL z malých stacionárních zdrojů (REZZO3)</w:t>
      </w:r>
    </w:p>
    <w:p w:rsidR="007B3CDE" w:rsidRPr="008A61B7" w:rsidRDefault="00817320" w:rsidP="00FC7D3E">
      <w:pPr>
        <w:pStyle w:val="Odstavecseseznamem"/>
        <w:spacing w:after="160" w:line="259" w:lineRule="auto"/>
        <w:rPr>
          <w:b/>
        </w:rPr>
      </w:pPr>
      <w:r>
        <w:rPr>
          <w:b/>
        </w:rPr>
        <w:t xml:space="preserve"> </w:t>
      </w:r>
    </w:p>
    <w:p w:rsidR="007879D0" w:rsidRDefault="007879D0" w:rsidP="00FC7D3E">
      <w:pPr>
        <w:spacing w:after="0" w:afterAutospacing="0"/>
        <w:rPr>
          <w:b/>
        </w:rPr>
      </w:pPr>
      <w:r>
        <w:rPr>
          <w:b/>
        </w:rPr>
        <w:t>Nezanedbatelný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7B699C">
        <w:t>k pozitivní změně na národní úrovni v období 2007 - 2012</w:t>
      </w:r>
      <w:r>
        <w:rPr>
          <w:b/>
        </w:rPr>
        <w:t xml:space="preserve">  (1 až 5 %) </w:t>
      </w:r>
      <w:r w:rsidRPr="007B699C">
        <w:t>lze konstatovat v případě indikátor</w:t>
      </w:r>
      <w:r>
        <w:t>u</w:t>
      </w:r>
      <w:r>
        <w:rPr>
          <w:b/>
        </w:rPr>
        <w:t>:</w:t>
      </w:r>
    </w:p>
    <w:p w:rsidR="007879D0" w:rsidRDefault="007879D0" w:rsidP="00FC7D3E">
      <w:pPr>
        <w:pStyle w:val="Odstavecseseznamem"/>
        <w:numPr>
          <w:ilvl w:val="0"/>
          <w:numId w:val="26"/>
        </w:numPr>
        <w:spacing w:line="259" w:lineRule="auto"/>
        <w:rPr>
          <w:b/>
        </w:rPr>
      </w:pPr>
      <w:r w:rsidRPr="00D77C18">
        <w:rPr>
          <w:b/>
        </w:rPr>
        <w:t>Počet obyvatel nově připojených na vodovod</w:t>
      </w:r>
    </w:p>
    <w:p w:rsidR="007B3CDE" w:rsidRDefault="007B3CDE" w:rsidP="00FC7D3E">
      <w:pPr>
        <w:pStyle w:val="Odstavecseseznamem"/>
        <w:spacing w:line="259" w:lineRule="auto"/>
        <w:rPr>
          <w:b/>
        </w:rPr>
      </w:pPr>
    </w:p>
    <w:p w:rsidR="007879D0" w:rsidRPr="00AB037B" w:rsidRDefault="007879D0" w:rsidP="00FC7D3E">
      <w:pPr>
        <w:spacing w:after="0" w:afterAutospacing="0"/>
        <w:rPr>
          <w:b/>
        </w:rPr>
      </w:pPr>
      <w:r w:rsidRPr="00AB037B">
        <w:rPr>
          <w:b/>
        </w:rPr>
        <w:t>Nezanedbatelný přínos OP</w:t>
      </w:r>
      <w:r w:rsidR="00817320">
        <w:rPr>
          <w:b/>
        </w:rPr>
        <w:t xml:space="preserve"> </w:t>
      </w:r>
      <w:r w:rsidRPr="00AB037B">
        <w:rPr>
          <w:b/>
        </w:rPr>
        <w:t xml:space="preserve">ŽP </w:t>
      </w:r>
      <w:r w:rsidRPr="00AB037B">
        <w:t>k pozitivní změně na národní úrovni v období 2007 - 2012</w:t>
      </w:r>
      <w:r w:rsidRPr="00AB037B">
        <w:rPr>
          <w:b/>
        </w:rPr>
        <w:t xml:space="preserve">  (1 až 5 %) </w:t>
      </w:r>
      <w:r>
        <w:rPr>
          <w:b/>
        </w:rPr>
        <w:t>je s vědomím nejistoty národních dat pravděpodobný</w:t>
      </w:r>
      <w:r w:rsidRPr="00AB037B">
        <w:t xml:space="preserve"> v případě indikátor</w:t>
      </w:r>
      <w:r>
        <w:t>ů</w:t>
      </w:r>
      <w:r w:rsidRPr="00AB037B">
        <w:rPr>
          <w:b/>
        </w:rPr>
        <w:t>:</w:t>
      </w:r>
    </w:p>
    <w:p w:rsidR="007879D0" w:rsidRPr="007B699C" w:rsidRDefault="007879D0" w:rsidP="00FC7D3E">
      <w:pPr>
        <w:pStyle w:val="Odstavecseseznamem"/>
        <w:numPr>
          <w:ilvl w:val="0"/>
          <w:numId w:val="26"/>
        </w:numPr>
        <w:spacing w:line="259" w:lineRule="auto"/>
        <w:rPr>
          <w:b/>
        </w:rPr>
      </w:pPr>
      <w:r w:rsidRPr="007B699C">
        <w:rPr>
          <w:b/>
        </w:rPr>
        <w:t>Snížení emisí SO</w:t>
      </w:r>
      <w:r>
        <w:rPr>
          <w:b/>
          <w:vertAlign w:val="subscript"/>
        </w:rPr>
        <w:t>2</w:t>
      </w:r>
      <w:r w:rsidRPr="007B699C">
        <w:rPr>
          <w:b/>
        </w:rPr>
        <w:t xml:space="preserve"> ze stacionárních zdrojů</w:t>
      </w:r>
    </w:p>
    <w:p w:rsidR="007879D0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7B699C">
        <w:rPr>
          <w:b/>
        </w:rPr>
        <w:t>Snížení emisí NO</w:t>
      </w:r>
      <w:r>
        <w:rPr>
          <w:b/>
          <w:vertAlign w:val="subscript"/>
        </w:rPr>
        <w:t>X</w:t>
      </w:r>
      <w:r w:rsidRPr="007B699C">
        <w:rPr>
          <w:b/>
        </w:rPr>
        <w:t xml:space="preserve"> ze stacionárních zdrojů</w:t>
      </w:r>
    </w:p>
    <w:p w:rsidR="007879D0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7B699C">
        <w:rPr>
          <w:b/>
        </w:rPr>
        <w:lastRenderedPageBreak/>
        <w:t xml:space="preserve">Snížení emisí </w:t>
      </w:r>
      <w:r>
        <w:rPr>
          <w:b/>
        </w:rPr>
        <w:t>VOC</w:t>
      </w:r>
      <w:r w:rsidRPr="007B699C">
        <w:rPr>
          <w:b/>
        </w:rPr>
        <w:t xml:space="preserve"> ze stacionárních zdrojů</w:t>
      </w:r>
    </w:p>
    <w:p w:rsidR="007879D0" w:rsidRPr="008A61B7" w:rsidRDefault="007B3CDE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>
        <w:rPr>
          <w:b/>
        </w:rPr>
        <w:t xml:space="preserve">Snížení emisí VOC z malých </w:t>
      </w:r>
      <w:r w:rsidR="007879D0" w:rsidRPr="008A61B7">
        <w:rPr>
          <w:b/>
        </w:rPr>
        <w:t>stacionárních zdrojů (REZZO 3)</w:t>
      </w:r>
    </w:p>
    <w:p w:rsidR="007879D0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7B699C">
        <w:rPr>
          <w:b/>
        </w:rPr>
        <w:t>Snížení hodnoty indikátoru EPS u stacionárních zdrojů</w:t>
      </w:r>
    </w:p>
    <w:p w:rsidR="007B3CDE" w:rsidRPr="007B699C" w:rsidRDefault="007B3CDE" w:rsidP="00FC7D3E">
      <w:pPr>
        <w:pStyle w:val="Odstavecseseznamem"/>
        <w:spacing w:after="160" w:line="259" w:lineRule="auto"/>
        <w:rPr>
          <w:b/>
        </w:rPr>
      </w:pPr>
    </w:p>
    <w:p w:rsidR="007879D0" w:rsidRDefault="007879D0" w:rsidP="00FC7D3E">
      <w:pPr>
        <w:spacing w:after="0" w:afterAutospacing="0"/>
        <w:rPr>
          <w:b/>
        </w:rPr>
      </w:pPr>
      <w:r>
        <w:rPr>
          <w:b/>
        </w:rPr>
        <w:t>Zanedbatelný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7B699C">
        <w:t>k pozitivní změně na národní úrovni v období 2007 - 2012</w:t>
      </w:r>
      <w:r>
        <w:rPr>
          <w:b/>
        </w:rPr>
        <w:t xml:space="preserve">  (méně než 1 %) </w:t>
      </w:r>
      <w:r w:rsidRPr="007B699C">
        <w:t>lze konstatovat v případě indikátorů</w:t>
      </w:r>
      <w:r>
        <w:rPr>
          <w:b/>
        </w:rPr>
        <w:t>:</w:t>
      </w:r>
    </w:p>
    <w:p w:rsidR="007879D0" w:rsidRPr="007B699C" w:rsidRDefault="007879D0" w:rsidP="00FC7D3E">
      <w:pPr>
        <w:pStyle w:val="Odstavecseseznamem"/>
        <w:numPr>
          <w:ilvl w:val="0"/>
          <w:numId w:val="30"/>
        </w:numPr>
        <w:spacing w:line="259" w:lineRule="auto"/>
        <w:rPr>
          <w:b/>
        </w:rPr>
      </w:pPr>
      <w:r w:rsidRPr="007B699C">
        <w:rPr>
          <w:b/>
        </w:rPr>
        <w:t>Snížení spotřeby energie</w:t>
      </w:r>
    </w:p>
    <w:p w:rsidR="007879D0" w:rsidRPr="007B699C" w:rsidRDefault="007879D0" w:rsidP="00FC7D3E">
      <w:pPr>
        <w:pStyle w:val="Odstavecseseznamem"/>
        <w:numPr>
          <w:ilvl w:val="0"/>
          <w:numId w:val="30"/>
        </w:numPr>
        <w:spacing w:line="259" w:lineRule="auto"/>
        <w:rPr>
          <w:b/>
        </w:rPr>
      </w:pPr>
      <w:r w:rsidRPr="007B699C">
        <w:rPr>
          <w:b/>
        </w:rPr>
        <w:t>Výroba tepla z OZE</w:t>
      </w:r>
    </w:p>
    <w:p w:rsidR="007879D0" w:rsidRPr="007B699C" w:rsidRDefault="007879D0" w:rsidP="007879D0">
      <w:pPr>
        <w:pStyle w:val="Odstavecseseznamem"/>
        <w:numPr>
          <w:ilvl w:val="0"/>
          <w:numId w:val="30"/>
        </w:numPr>
        <w:spacing w:after="160" w:line="259" w:lineRule="auto"/>
        <w:rPr>
          <w:b/>
        </w:rPr>
      </w:pPr>
      <w:r w:rsidRPr="007B699C">
        <w:rPr>
          <w:b/>
        </w:rPr>
        <w:t>Výroba elektřiny z OZE</w:t>
      </w:r>
    </w:p>
    <w:p w:rsidR="007879D0" w:rsidRPr="007B699C" w:rsidRDefault="007879D0" w:rsidP="007879D0">
      <w:pPr>
        <w:pStyle w:val="Odstavecseseznamem"/>
        <w:numPr>
          <w:ilvl w:val="0"/>
          <w:numId w:val="30"/>
        </w:numPr>
        <w:spacing w:after="160" w:line="259" w:lineRule="auto"/>
        <w:rPr>
          <w:b/>
        </w:rPr>
      </w:pPr>
      <w:r w:rsidRPr="007B699C">
        <w:rPr>
          <w:b/>
        </w:rPr>
        <w:t>Snížení emisí oxidu uhličitého</w:t>
      </w:r>
      <w:r>
        <w:rPr>
          <w:b/>
        </w:rPr>
        <w:t>.</w:t>
      </w:r>
    </w:p>
    <w:p w:rsidR="007879D0" w:rsidRDefault="007879D0" w:rsidP="007879D0">
      <w:pPr>
        <w:rPr>
          <w:b/>
        </w:rPr>
      </w:pPr>
      <w:r>
        <w:rPr>
          <w:b/>
        </w:rPr>
        <w:t>Vzhledem k tomu, že indikátory jsou hodnoceny</w:t>
      </w:r>
      <w:r w:rsidR="00817320">
        <w:rPr>
          <w:b/>
        </w:rPr>
        <w:t xml:space="preserve"> pouze pro časové období 2007-</w:t>
      </w:r>
      <w:r>
        <w:rPr>
          <w:b/>
        </w:rPr>
        <w:t>2013 (data na národní úrovni k roku 2014 nejsou dosud k dispozici), je význam hodnocení v této fázi spíše metodický. Řada významných projektů v rámci OP</w:t>
      </w:r>
      <w:r w:rsidR="00817320">
        <w:rPr>
          <w:b/>
        </w:rPr>
        <w:t xml:space="preserve"> </w:t>
      </w:r>
      <w:r>
        <w:rPr>
          <w:b/>
        </w:rPr>
        <w:t>ŽP bude navíc dokončena až v roce 2014 a letech následujících a hodnoty většiny indikátorů dopadu se výrazně zvýší.</w:t>
      </w:r>
    </w:p>
    <w:p w:rsidR="007879D0" w:rsidRPr="00983178" w:rsidRDefault="007879D0" w:rsidP="007879D0">
      <w:r w:rsidRPr="00983178">
        <w:br w:type="page"/>
      </w:r>
    </w:p>
    <w:p w:rsidR="007879D0" w:rsidRPr="00FC7D3E" w:rsidRDefault="007879D0">
      <w:pPr>
        <w:pStyle w:val="Nadpis1"/>
      </w:pPr>
      <w:bookmarkStart w:id="6" w:name="_Toc404179349"/>
      <w:bookmarkStart w:id="7" w:name="_Toc404179422"/>
      <w:r w:rsidRPr="00FC7D3E">
        <w:lastRenderedPageBreak/>
        <w:t>Úvod</w:t>
      </w:r>
      <w:bookmarkEnd w:id="6"/>
      <w:bookmarkEnd w:id="7"/>
    </w:p>
    <w:p w:rsidR="007879D0" w:rsidRPr="002D5A40" w:rsidRDefault="007879D0" w:rsidP="007879D0"/>
    <w:p w:rsidR="007879D0" w:rsidRPr="002D5A40" w:rsidRDefault="007879D0" w:rsidP="00FC7D3E">
      <w:pPr>
        <w:spacing w:after="0" w:afterAutospacing="0"/>
      </w:pPr>
      <w:r w:rsidRPr="002D5A40">
        <w:t xml:space="preserve">Na základě analýzy indikátorových soustav, užívaných v zahraničí i v ČR </w:t>
      </w:r>
      <w:r>
        <w:t>¨p</w:t>
      </w:r>
      <w:r w:rsidRPr="002D5A40">
        <w:t>ro posuzování stavu životního prostředí</w:t>
      </w:r>
      <w:r>
        <w:t xml:space="preserve"> jsou </w:t>
      </w:r>
      <w:r w:rsidRPr="002D5A40">
        <w:t>rozpracován</w:t>
      </w:r>
      <w:r>
        <w:t>y</w:t>
      </w:r>
      <w:r w:rsidRPr="002D5A40">
        <w:t xml:space="preserve"> </w:t>
      </w:r>
      <w:r w:rsidRPr="00D12700">
        <w:rPr>
          <w:b/>
        </w:rPr>
        <w:t>makroskopické n</w:t>
      </w:r>
      <w:r w:rsidRPr="002D5A40">
        <w:rPr>
          <w:b/>
        </w:rPr>
        <w:t>adstavbové indikátory dopadu OP</w:t>
      </w:r>
      <w:r w:rsidR="00817320">
        <w:rPr>
          <w:b/>
        </w:rPr>
        <w:t> </w:t>
      </w:r>
      <w:r w:rsidRPr="002D5A40">
        <w:rPr>
          <w:b/>
        </w:rPr>
        <w:t>ŽP</w:t>
      </w:r>
      <w:r w:rsidRPr="002D5A40">
        <w:t xml:space="preserve">, </w:t>
      </w:r>
      <w:r>
        <w:t>o</w:t>
      </w:r>
      <w:r w:rsidRPr="002D5A40">
        <w:t>dpovídají</w:t>
      </w:r>
      <w:r>
        <w:t>cí</w:t>
      </w:r>
      <w:r w:rsidRPr="002D5A40">
        <w:t xml:space="preserve"> na </w:t>
      </w:r>
      <w:r w:rsidRPr="002D5A40">
        <w:rPr>
          <w:b/>
        </w:rPr>
        <w:t>základní otázk</w:t>
      </w:r>
      <w:r>
        <w:rPr>
          <w:b/>
        </w:rPr>
        <w:t>u</w:t>
      </w:r>
      <w:r w:rsidRPr="002D5A40">
        <w:t>:</w:t>
      </w:r>
    </w:p>
    <w:p w:rsidR="007879D0" w:rsidRPr="002D5A40" w:rsidRDefault="007879D0" w:rsidP="00FC7D3E">
      <w:pPr>
        <w:spacing w:after="0" w:afterAutospacing="0"/>
        <w:ind w:left="340" w:hanging="340"/>
        <w:contextualSpacing/>
        <w:rPr>
          <w:b/>
        </w:rPr>
      </w:pPr>
      <w:r w:rsidRPr="002D5A40">
        <w:rPr>
          <w:b/>
        </w:rPr>
        <w:t>•</w:t>
      </w:r>
      <w:r w:rsidRPr="002D5A40">
        <w:rPr>
          <w:b/>
        </w:rPr>
        <w:tab/>
        <w:t>Jaký je podíl intervencí OP</w:t>
      </w:r>
      <w:r w:rsidR="00817320">
        <w:rPr>
          <w:b/>
        </w:rPr>
        <w:t xml:space="preserve"> </w:t>
      </w:r>
      <w:r w:rsidRPr="002D5A40">
        <w:rPr>
          <w:b/>
        </w:rPr>
        <w:t>ŽP na celkové změně situace (stavu dané složky životního prostředí) na národní úrovni (v rámci celé ČR)?</w:t>
      </w:r>
    </w:p>
    <w:p w:rsidR="007879D0" w:rsidRDefault="007879D0" w:rsidP="007879D0">
      <w:pPr>
        <w:rPr>
          <w:b/>
          <w:sz w:val="20"/>
          <w:szCs w:val="20"/>
        </w:rPr>
      </w:pPr>
    </w:p>
    <w:p w:rsidR="007879D0" w:rsidRPr="00B00985" w:rsidRDefault="007879D0" w:rsidP="007879D0">
      <w:pPr>
        <w:rPr>
          <w:b/>
        </w:rPr>
      </w:pPr>
      <w:r w:rsidRPr="00D12700">
        <w:rPr>
          <w:b/>
        </w:rPr>
        <w:t>Makroskopické nadstavbové indikátory</w:t>
      </w:r>
      <w:r w:rsidRPr="00D12700">
        <w:t xml:space="preserve"> </w:t>
      </w:r>
      <w:r w:rsidRPr="00D12700">
        <w:rPr>
          <w:b/>
        </w:rPr>
        <w:t>dopadu</w:t>
      </w:r>
      <w:r w:rsidRPr="00D12700">
        <w:t xml:space="preserve"> vycházejí ze skutečnosti, že vedle intervencí v rámci OP</w:t>
      </w:r>
      <w:r w:rsidR="00817320">
        <w:t xml:space="preserve"> ŽP</w:t>
      </w:r>
      <w:r w:rsidRPr="00D12700">
        <w:t xml:space="preserve"> je realizována řada opatření ke zlepšení stavu životního prostř</w:t>
      </w:r>
      <w:r w:rsidR="007B3CDE">
        <w:t>edí financovaných ze soukromých</w:t>
      </w:r>
      <w:r w:rsidRPr="00D12700">
        <w:t xml:space="preserve"> (vlastní zdroje fyzických i právnických osob) i veřejných prostředků (podpůrné programy typu Zelená úsporám či výměna kotlů v domácnostech) a že zlepšení stavu životního prostředí je často přímým i nepřímým dopadem intervencí v rámci jiných operačních programů. </w:t>
      </w:r>
      <w:r w:rsidRPr="00D12700">
        <w:rPr>
          <w:b/>
        </w:rPr>
        <w:t>Cílem makroskopických indikátorů dopadu je stanovit podíl, jakým se intervence OP</w:t>
      </w:r>
      <w:r w:rsidR="00B5783E">
        <w:rPr>
          <w:b/>
        </w:rPr>
        <w:t xml:space="preserve"> </w:t>
      </w:r>
      <w:r w:rsidRPr="00D12700">
        <w:rPr>
          <w:b/>
        </w:rPr>
        <w:t xml:space="preserve">ŽP </w:t>
      </w:r>
      <w:r w:rsidRPr="00B00985">
        <w:rPr>
          <w:b/>
        </w:rPr>
        <w:t>podílejí na celkové změně stavu příslušné charakteristiky životního prostředí.</w:t>
      </w:r>
    </w:p>
    <w:p w:rsidR="007879D0" w:rsidRPr="00B00985" w:rsidRDefault="007879D0" w:rsidP="00FC7D3E">
      <w:pPr>
        <w:spacing w:after="0" w:afterAutospacing="0"/>
      </w:pPr>
      <w:r w:rsidRPr="00B00985">
        <w:t xml:space="preserve">Pro každý z navržených indikátorů byl zpracován </w:t>
      </w:r>
      <w:r w:rsidRPr="00B00985">
        <w:rPr>
          <w:b/>
        </w:rPr>
        <w:t>Indikátorový list v následujícím formátu:</w:t>
      </w:r>
    </w:p>
    <w:p w:rsidR="007879D0" w:rsidRPr="00FC7D3E" w:rsidRDefault="007879D0" w:rsidP="00FC7D3E">
      <w:pPr>
        <w:pStyle w:val="Odstavecseseznamem"/>
        <w:numPr>
          <w:ilvl w:val="0"/>
          <w:numId w:val="14"/>
        </w:numPr>
        <w:spacing w:line="240" w:lineRule="atLeast"/>
        <w:ind w:left="714" w:hanging="357"/>
      </w:pPr>
      <w:r w:rsidRPr="00FC7D3E">
        <w:t>Cíl indikátoru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Popis indikátoru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Jednotka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Výpočet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Odvozené indikátory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Zdroj dat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Časová dostupnost dat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Nejistota dat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Data na národní úrovni 2007 – 2012 (2013)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Pomocná data (v relevantních případech)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Data OP</w:t>
      </w:r>
      <w:r w:rsidR="00B5783E">
        <w:t xml:space="preserve"> </w:t>
      </w:r>
      <w:r w:rsidRPr="00FC7D3E">
        <w:t>ŽP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Vypočtená hodnota indikátoru k roku 2012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Závěr</w:t>
      </w:r>
    </w:p>
    <w:p w:rsidR="007879D0" w:rsidRPr="00FC7D3E" w:rsidRDefault="007879D0" w:rsidP="007879D0">
      <w:pPr>
        <w:pStyle w:val="Odstavecseseznamem"/>
        <w:numPr>
          <w:ilvl w:val="0"/>
          <w:numId w:val="14"/>
        </w:numPr>
        <w:spacing w:after="160" w:line="240" w:lineRule="atLeast"/>
        <w:ind w:left="714" w:hanging="357"/>
      </w:pPr>
      <w:r w:rsidRPr="00FC7D3E">
        <w:t>Reference</w:t>
      </w:r>
    </w:p>
    <w:p w:rsidR="007B3CDE" w:rsidRPr="00FC7D3E" w:rsidRDefault="007B3CDE" w:rsidP="00FC7D3E">
      <w:pPr>
        <w:pStyle w:val="Odstavecseseznamem"/>
        <w:spacing w:after="160" w:line="240" w:lineRule="atLeast"/>
        <w:ind w:left="714"/>
      </w:pPr>
    </w:p>
    <w:p w:rsidR="007879D0" w:rsidRPr="00B00985" w:rsidRDefault="007879D0" w:rsidP="00FC7D3E">
      <w:pPr>
        <w:spacing w:after="0" w:afterAutospacing="0"/>
      </w:pPr>
      <w:r w:rsidRPr="00B00985">
        <w:t xml:space="preserve">Navržené indikátory byly vyhodnoceny na základě následujících kritérií: </w:t>
      </w:r>
    </w:p>
    <w:p w:rsidR="007879D0" w:rsidRPr="00FC7D3E" w:rsidRDefault="007879D0" w:rsidP="00FC7D3E">
      <w:pPr>
        <w:pStyle w:val="Odstavecseseznamem"/>
        <w:numPr>
          <w:ilvl w:val="0"/>
          <w:numId w:val="32"/>
        </w:numPr>
        <w:spacing w:line="259" w:lineRule="auto"/>
      </w:pPr>
      <w:r w:rsidRPr="00FC7D3E">
        <w:t>Dostupnost dat na národní úrovni</w:t>
      </w:r>
    </w:p>
    <w:p w:rsidR="007879D0" w:rsidRPr="00FC7D3E" w:rsidRDefault="007879D0" w:rsidP="007879D0">
      <w:pPr>
        <w:pStyle w:val="Odstavecseseznamem"/>
        <w:numPr>
          <w:ilvl w:val="0"/>
          <w:numId w:val="32"/>
        </w:numPr>
        <w:spacing w:after="160" w:line="259" w:lineRule="auto"/>
      </w:pPr>
      <w:r w:rsidRPr="00FC7D3E">
        <w:t>Kompatibilita dat na národní úrovni s daty sledovanými na národní úrovni</w:t>
      </w:r>
    </w:p>
    <w:p w:rsidR="007879D0" w:rsidRPr="00FC7D3E" w:rsidRDefault="007879D0" w:rsidP="007879D0">
      <w:pPr>
        <w:pStyle w:val="Odstavecseseznamem"/>
        <w:numPr>
          <w:ilvl w:val="0"/>
          <w:numId w:val="32"/>
        </w:numPr>
        <w:spacing w:after="160" w:line="259" w:lineRule="auto"/>
      </w:pPr>
      <w:r w:rsidRPr="00FC7D3E">
        <w:t xml:space="preserve">Dodržení žádoucího trendu dat na národní úrovni ve sledovaném časovém období </w:t>
      </w:r>
      <w:r w:rsidR="007B3CDE" w:rsidRPr="00FC7D3E">
        <w:t>(pokud je trend nežádoucí,</w:t>
      </w:r>
      <w:r w:rsidRPr="00FC7D3E">
        <w:t xml:space="preserve"> například zvýšení emisí, nemůže být indikátor vyčíslen, protože trend intervencí OP</w:t>
      </w:r>
      <w:r w:rsidR="00B5783E">
        <w:t xml:space="preserve"> </w:t>
      </w:r>
      <w:r w:rsidRPr="00FC7D3E">
        <w:t xml:space="preserve">ŽP jde vždy žádoucím směrem, například snížení emisí). </w:t>
      </w:r>
    </w:p>
    <w:p w:rsidR="007879D0" w:rsidRPr="00B00985" w:rsidRDefault="007879D0" w:rsidP="007879D0">
      <w:r w:rsidRPr="00B00985">
        <w:br w:type="page"/>
      </w:r>
    </w:p>
    <w:p w:rsidR="007879D0" w:rsidRPr="002D5A40" w:rsidRDefault="007879D0" w:rsidP="00FC7D3E">
      <w:pPr>
        <w:pStyle w:val="Nadpis1"/>
      </w:pPr>
      <w:bookmarkStart w:id="8" w:name="_Toc404179350"/>
      <w:bookmarkStart w:id="9" w:name="_Toc404179423"/>
      <w:r w:rsidRPr="00FC7D3E">
        <w:lastRenderedPageBreak/>
        <w:t>Makroskopické nadstavbové indikátory dopadu</w:t>
      </w:r>
      <w:bookmarkEnd w:id="8"/>
      <w:bookmarkEnd w:id="9"/>
    </w:p>
    <w:p w:rsidR="007879D0" w:rsidRPr="00FC7D3E" w:rsidRDefault="007879D0" w:rsidP="00FC7D3E">
      <w:pPr>
        <w:pStyle w:val="Nadpis2"/>
        <w:rPr>
          <w:b w:val="0"/>
        </w:rPr>
      </w:pPr>
      <w:bookmarkStart w:id="10" w:name="_Toc404179351"/>
      <w:bookmarkStart w:id="11" w:name="_Toc404179424"/>
      <w:r w:rsidRPr="00FC7D3E">
        <w:t>Voda</w:t>
      </w:r>
      <w:bookmarkEnd w:id="10"/>
      <w:bookmarkEnd w:id="11"/>
    </w:p>
    <w:p w:rsidR="007879D0" w:rsidRPr="00FC7D3E" w:rsidRDefault="007879D0" w:rsidP="00FC7D3E">
      <w:pPr>
        <w:pStyle w:val="Nadpis3"/>
      </w:pPr>
      <w:bookmarkStart w:id="12" w:name="_Toc404179352"/>
      <w:bookmarkStart w:id="13" w:name="_Toc404179425"/>
      <w:r w:rsidRPr="00FC7D3E">
        <w:t>Délka</w:t>
      </w:r>
      <w:r w:rsidRPr="002D5A40">
        <w:t xml:space="preserve"> </w:t>
      </w:r>
      <w:r w:rsidRPr="00FC7D3E">
        <w:t>nových</w:t>
      </w:r>
      <w:r w:rsidRPr="002D5A40">
        <w:t xml:space="preserve"> </w:t>
      </w:r>
      <w:r w:rsidRPr="00FC7D3E">
        <w:t>kanalizačních</w:t>
      </w:r>
      <w:r w:rsidRPr="002D5A40">
        <w:t xml:space="preserve"> sítí</w:t>
      </w:r>
      <w:bookmarkEnd w:id="12"/>
      <w:bookmarkEnd w:id="13"/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stanovuje dopad</w:t>
      </w:r>
      <w:r w:rsidR="00B17940">
        <w:t xml:space="preserve"> intervencí v rámci OPŽP 2007-</w:t>
      </w:r>
      <w:r w:rsidRPr="002D5A40">
        <w:t>2013 na výstavbu nových kanalizačních sítí v ČR.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délky kanalizačních sítí nově vybudo</w:t>
      </w:r>
      <w:r w:rsidR="00B17940">
        <w:t>vaných za podpory z OPŽP 2007-</w:t>
      </w:r>
      <w:r w:rsidRPr="002D5A40">
        <w:t>2013 na celkové délce nově vybudovaných kanalizačních sítí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celková délka kanalizačních sítí (v km) nově vybudovaných v daném časovém obd</w:t>
      </w:r>
      <w:r w:rsidR="007B3CDE">
        <w:t>obí za podpory OPŽP 2007 – 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celková </w:t>
      </w:r>
      <w:r w:rsidR="00B17940">
        <w:t>délka kanalizačních sítí (v km)</w:t>
      </w:r>
      <w:r w:rsidRPr="002D5A40">
        <w:t xml:space="preserve"> nově vybudovaných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Podíl celkové délky kanalizačních sítí vybudovaných za podpory z OP</w:t>
      </w:r>
      <w:r w:rsidR="00B17940">
        <w:t>ŽP 2007-</w:t>
      </w:r>
      <w:r w:rsidR="007B3CDE">
        <w:t>2013 na celkové délce</w:t>
      </w:r>
      <w:r w:rsidRPr="002D5A40">
        <w:t xml:space="preserve"> kanalizačních sítí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B17940">
        <w:t>ající se intervencí OPŽP 2007-</w:t>
      </w:r>
      <w:r w:rsidRPr="002D5A40">
        <w:t>2013 jsou k dispozi</w:t>
      </w:r>
      <w:r w:rsidR="00B17940">
        <w:t>ci v Informačním systému SFŽP a </w:t>
      </w:r>
      <w:r>
        <w:t xml:space="preserve">částečně </w:t>
      </w:r>
      <w:r w:rsidRPr="002D5A40">
        <w:t>ve výročních zprávách OPŽP.</w:t>
      </w:r>
    </w:p>
    <w:p w:rsidR="007879D0" w:rsidRPr="002D5A40" w:rsidRDefault="007879D0" w:rsidP="007879D0">
      <w:r w:rsidRPr="002D5A40">
        <w:t>Data na národní úrovni jsou k dispozici např. v ročenkách Zpráva o stavu vodního hospodářství ČR (Modrá zpráva) a Vodovody a kanalizace ČR, vydávaných Ministerstvem zemědělství a také ve Statistických ročenkách – Životní prostředí, vydávaných Minis</w:t>
      </w:r>
      <w:r w:rsidR="00B17940">
        <w:t>terstvem životního prostředí ve </w:t>
      </w:r>
      <w:r w:rsidRPr="002D5A40">
        <w:t xml:space="preserve">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Nejistota</w:t>
      </w:r>
    </w:p>
    <w:p w:rsidR="007879D0" w:rsidRPr="00FC7D3E" w:rsidRDefault="007879D0" w:rsidP="007879D0">
      <w:r w:rsidRPr="002D5A40">
        <w:t>Vstupní data jsou velmi přesně měřitelná a nejsou významně ovlivněna vnějšími faktory. Stupeň nejistoty je proto prakticky zanedbatelný.</w:t>
      </w:r>
    </w:p>
    <w:p w:rsidR="007879D0" w:rsidRPr="00FC7D3E" w:rsidRDefault="007B3CDE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ČR 2007</w:t>
      </w:r>
      <w:r>
        <w:rPr>
          <w:b/>
          <w:i/>
          <w:color w:val="76923C" w:themeColor="accent3" w:themeShade="BF"/>
        </w:rPr>
        <w:t>-</w:t>
      </w:r>
      <w:r w:rsidR="007879D0" w:rsidRPr="00FC7D3E">
        <w:rPr>
          <w:b/>
          <w:i/>
          <w:color w:val="76923C" w:themeColor="accent3" w:themeShade="BF"/>
        </w:rPr>
        <w:t>2013</w:t>
      </w:r>
    </w:p>
    <w:p w:rsidR="007879D0" w:rsidRPr="002D5A40" w:rsidRDefault="007879D0" w:rsidP="007879D0">
      <w:r w:rsidRPr="002D5A40">
        <w:t>Žádoucí vývoj dat na národní úrovni je meziroční růst.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028"/>
        <w:gridCol w:w="899"/>
        <w:gridCol w:w="734"/>
        <w:gridCol w:w="734"/>
        <w:gridCol w:w="734"/>
        <w:gridCol w:w="734"/>
        <w:gridCol w:w="734"/>
        <w:gridCol w:w="734"/>
        <w:gridCol w:w="731"/>
      </w:tblGrid>
      <w:tr w:rsidR="007879D0" w:rsidRPr="002D5A40" w:rsidTr="005164E3">
        <w:tc>
          <w:tcPr>
            <w:tcW w:w="304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4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Celková délka kanalizačních sítí v ČR</w:t>
            </w:r>
          </w:p>
        </w:tc>
        <w:tc>
          <w:tcPr>
            <w:tcW w:w="87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km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37 689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38 784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39 796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40 902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41 911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42 752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43 618</w:t>
            </w:r>
          </w:p>
        </w:tc>
      </w:tr>
      <w:tr w:rsidR="007879D0" w:rsidRPr="002D5A40" w:rsidTr="005164E3">
        <w:tc>
          <w:tcPr>
            <w:tcW w:w="304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km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1 095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1 012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1 106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1 009</w:t>
            </w:r>
          </w:p>
        </w:tc>
        <w:tc>
          <w:tcPr>
            <w:tcW w:w="735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841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866</w:t>
            </w:r>
          </w:p>
        </w:tc>
      </w:tr>
      <w:tr w:rsidR="007879D0" w:rsidRPr="002D5A40" w:rsidTr="005164E3">
        <w:trPr>
          <w:trHeight w:val="283"/>
        </w:trPr>
        <w:tc>
          <w:tcPr>
            <w:tcW w:w="304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</w:rPr>
              <w:t>X</w:t>
            </w:r>
            <w:r w:rsidRPr="002D5A40">
              <w:rPr>
                <w:b/>
                <w:vertAlign w:val="subscript"/>
              </w:rPr>
              <w:t>celk</w:t>
            </w:r>
            <w:r w:rsidRPr="002D5A40">
              <w:rPr>
                <w:b/>
              </w:rPr>
              <w:t>:</w:t>
            </w:r>
            <w:r w:rsidRPr="002D5A40">
              <w:t xml:space="preserve"> </w:t>
            </w:r>
            <w:r w:rsidRPr="002D5A40">
              <w:rPr>
                <w:b/>
                <w:sz w:val="18"/>
                <w:szCs w:val="18"/>
              </w:rPr>
              <w:t>Změna 2007-2012</w:t>
            </w:r>
          </w:p>
        </w:tc>
        <w:tc>
          <w:tcPr>
            <w:tcW w:w="87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km</w:t>
            </w:r>
          </w:p>
        </w:tc>
        <w:tc>
          <w:tcPr>
            <w:tcW w:w="4410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5 063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rPr>
          <w:trHeight w:val="283"/>
        </w:trPr>
        <w:tc>
          <w:tcPr>
            <w:tcW w:w="304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</w:rPr>
              <w:t>X</w:t>
            </w:r>
            <w:r w:rsidRPr="002D5A40">
              <w:rPr>
                <w:b/>
                <w:vertAlign w:val="subscript"/>
              </w:rPr>
              <w:t>celk</w:t>
            </w:r>
            <w:r w:rsidRPr="002D5A40">
              <w:rPr>
                <w:b/>
              </w:rPr>
              <w:t>:</w:t>
            </w:r>
            <w:r w:rsidRPr="002D5A40">
              <w:t xml:space="preserve"> </w:t>
            </w:r>
            <w:r w:rsidRPr="002D5A40">
              <w:rPr>
                <w:b/>
                <w:sz w:val="18"/>
                <w:szCs w:val="18"/>
              </w:rPr>
              <w:t>Změna 2007-2013</w:t>
            </w:r>
          </w:p>
        </w:tc>
        <w:tc>
          <w:tcPr>
            <w:tcW w:w="87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km</w:t>
            </w:r>
          </w:p>
        </w:tc>
        <w:tc>
          <w:tcPr>
            <w:tcW w:w="5142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5 929</w:t>
            </w:r>
          </w:p>
        </w:tc>
      </w:tr>
    </w:tbl>
    <w:p w:rsidR="007879D0" w:rsidRDefault="007879D0" w:rsidP="007879D0">
      <w:pPr>
        <w:rPr>
          <w:i/>
          <w:color w:val="0070C0"/>
        </w:rPr>
      </w:pPr>
    </w:p>
    <w:p w:rsidR="007879D0" w:rsidRPr="00FC7D3E" w:rsidRDefault="007B3CDE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Celková délka kanalizačních sítí vybudovaných za podpory OPŽP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km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1 782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2D5A4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039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Default="007879D0" w:rsidP="007879D0">
      <w:pPr>
        <w:rPr>
          <w:b/>
        </w:rPr>
      </w:pPr>
      <w:r w:rsidRPr="002D5A40">
        <w:rPr>
          <w:b/>
        </w:rPr>
        <w:t>IND = 100 (1 782 / 5 063) = 35,2 %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Default="007879D0" w:rsidP="007879D0">
      <w:pPr>
        <w:rPr>
          <w:b/>
        </w:rPr>
      </w:pPr>
      <w:r w:rsidRPr="002D5A40">
        <w:rPr>
          <w:b/>
        </w:rPr>
        <w:t>IND = 100 (</w:t>
      </w:r>
      <w:r>
        <w:rPr>
          <w:b/>
        </w:rPr>
        <w:t>3</w:t>
      </w:r>
      <w:r w:rsidRPr="002D5A40">
        <w:rPr>
          <w:b/>
        </w:rPr>
        <w:t> </w:t>
      </w:r>
      <w:r>
        <w:rPr>
          <w:b/>
        </w:rPr>
        <w:t>039</w:t>
      </w:r>
      <w:r w:rsidRPr="002D5A40">
        <w:rPr>
          <w:b/>
        </w:rPr>
        <w:t xml:space="preserve"> / 5 </w:t>
      </w:r>
      <w:r>
        <w:rPr>
          <w:b/>
        </w:rPr>
        <w:t>929</w:t>
      </w:r>
      <w:r w:rsidRPr="002D5A40">
        <w:rPr>
          <w:b/>
        </w:rPr>
        <w:t xml:space="preserve">) = </w:t>
      </w:r>
      <w:r>
        <w:rPr>
          <w:b/>
        </w:rPr>
        <w:t>51</w:t>
      </w:r>
      <w:r w:rsidRPr="002D5A40">
        <w:rPr>
          <w:b/>
        </w:rPr>
        <w:t>,</w:t>
      </w:r>
      <w:r>
        <w:rPr>
          <w:b/>
        </w:rPr>
        <w:t>3</w:t>
      </w:r>
      <w:r w:rsidRPr="002D5A40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t xml:space="preserve">Z vypočítané hodnoty indikátoru vyplývá, že </w:t>
      </w:r>
      <w:r w:rsidRPr="002D5A40">
        <w:rPr>
          <w:b/>
        </w:rPr>
        <w:t>podíl intervencí OPŽP na celkové délce kanalizačních sítí, nově vy</w:t>
      </w:r>
      <w:r w:rsidR="00B17940">
        <w:rPr>
          <w:b/>
        </w:rPr>
        <w:t>budovaných v ČR v období 2007-</w:t>
      </w:r>
      <w:r w:rsidRPr="002D5A40">
        <w:rPr>
          <w:b/>
        </w:rPr>
        <w:t>201</w:t>
      </w:r>
      <w:r>
        <w:rPr>
          <w:b/>
        </w:rPr>
        <w:t>3</w:t>
      </w:r>
      <w:r w:rsidRPr="002D5A40">
        <w:rPr>
          <w:b/>
        </w:rPr>
        <w:t xml:space="preserve">, dosahuje více než </w:t>
      </w:r>
      <w:r>
        <w:rPr>
          <w:b/>
        </w:rPr>
        <w:t>50 %</w:t>
      </w:r>
      <w:r w:rsidRPr="002D5A40">
        <w:rPr>
          <w:b/>
        </w:rPr>
        <w:t xml:space="preserve"> a je tedy </w:t>
      </w:r>
      <w:r>
        <w:rPr>
          <w:b/>
        </w:rPr>
        <w:t>rozhodující</w:t>
      </w:r>
      <w:r w:rsidRPr="002D5A40">
        <w:rPr>
          <w:b/>
        </w:rPr>
        <w:t>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Výroční zprávy OPŽP: </w:t>
      </w:r>
      <w:hyperlink r:id="rId8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Zpráva o stavu vodního hospodářství ČR (Modré zprávy): </w:t>
      </w:r>
      <w:hyperlink r:id="rId9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10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Statistické ročenky – Životní prostředí: </w:t>
      </w:r>
      <w:hyperlink r:id="rId11" w:history="1">
        <w:r w:rsidRPr="002D5A40">
          <w:rPr>
            <w:rStyle w:val="Hypertextovodkaz"/>
          </w:rPr>
          <w:t>http://www.mzp.cz/cz/statisticka_rocenka_zivotniho_prostredi_publikace</w:t>
        </w:r>
      </w:hyperlink>
      <w:r w:rsidRPr="002D5A40">
        <w:t xml:space="preserve"> </w:t>
      </w:r>
    </w:p>
    <w:p w:rsidR="007879D0" w:rsidRPr="002D5A40" w:rsidRDefault="007879D0" w:rsidP="007879D0"/>
    <w:p w:rsidR="007879D0" w:rsidRPr="00FC7D3E" w:rsidRDefault="007879D0" w:rsidP="00FC7D3E">
      <w:pPr>
        <w:pStyle w:val="Nadpis3"/>
      </w:pPr>
      <w:bookmarkStart w:id="14" w:name="_Toc404179353"/>
      <w:bookmarkStart w:id="15" w:name="_Toc404179426"/>
      <w:r w:rsidRPr="002D5A40">
        <w:t xml:space="preserve">Počet </w:t>
      </w:r>
      <w:r w:rsidRPr="00FC7D3E">
        <w:t>nových</w:t>
      </w:r>
      <w:r w:rsidRPr="002D5A40">
        <w:t xml:space="preserve"> ČOV</w:t>
      </w:r>
      <w:bookmarkEnd w:id="14"/>
      <w:bookmarkEnd w:id="15"/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B17940">
        <w:t>je dopad intervencí OPŽP 2007-</w:t>
      </w:r>
      <w:r w:rsidRPr="002D5A40">
        <w:t>2013 na celkovou výstavbu čistíren odpadních vod pro veřejnou potřebu v ČR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čistíren odpadních vod nově vybudo</w:t>
      </w:r>
      <w:r w:rsidR="00B17940">
        <w:t>vaných za podpory z OPŽP 2007-</w:t>
      </w:r>
      <w:r w:rsidRPr="002D5A40">
        <w:t>2013 na celkovém počtu nově vybudovaných čistíren odpadních v ČR v 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celkový počet čistíren odpadních vod nově vybudovaných v daném časovém obd</w:t>
      </w:r>
      <w:r w:rsidR="007B3CDE">
        <w:t>obí za podpory OPŽP 2007 – 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celkový počet nově vybudovaných čistíren odpadních vod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Dílčí indikátory podle velikosti aglomerace (do 2000 EO, 2000 EO – 10 000 EO, nad 10 000 EO), dle nominální kapacity (m</w:t>
      </w:r>
      <w:r w:rsidRPr="002D5A40">
        <w:rPr>
          <w:vertAlign w:val="superscript"/>
        </w:rPr>
        <w:t>3</w:t>
      </w:r>
      <w:r w:rsidRPr="002D5A40">
        <w:t xml:space="preserve"> /den), dle stupně čištění (mechanické, mechanicko-biologické, s dalším odstraňováním dusíku, s dalším odstraňováním fosforu, s dalším odstraňováním současně fosforu a dusíku).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B17940">
        <w:t>ající se intervencí OPŽP 2007-</w:t>
      </w:r>
      <w:r w:rsidRPr="002D5A40">
        <w:t>2013 jsou k dispozi</w:t>
      </w:r>
      <w:r w:rsidR="00B17940">
        <w:t>ci v Informačním systému SFŽP a </w:t>
      </w:r>
      <w:r>
        <w:t>částečně</w:t>
      </w:r>
      <w:r w:rsidRPr="002D5A40">
        <w:t xml:space="preserve"> ve výročních zprávách OPŽP.</w:t>
      </w:r>
    </w:p>
    <w:p w:rsidR="007879D0" w:rsidRPr="002D5A40" w:rsidRDefault="007879D0" w:rsidP="007879D0">
      <w:r w:rsidRPr="002D5A40">
        <w:t xml:space="preserve">Data na národní úrovni jsou k dispozici např. v ročenkách Zpráva o stavu vodního hospodářství ČR (Modrá zpráva) a Vodovody a kanalizace ČR, vydávaných Ministerstvem zemědělství a také ve Statistických ročenkách – Životní 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Default="007879D0" w:rsidP="007879D0">
      <w:r w:rsidRPr="002D5A40">
        <w:t>n + 1 (data za příslušný rok n jsou k dispozici nejpozději do konce roku následujícího).</w:t>
      </w:r>
    </w:p>
    <w:p w:rsidR="004261E3" w:rsidRPr="002D5A40" w:rsidRDefault="004261E3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Nejistota</w:t>
      </w:r>
    </w:p>
    <w:p w:rsidR="007879D0" w:rsidRPr="002D5A40" w:rsidRDefault="007879D0" w:rsidP="007879D0">
      <w:r w:rsidRPr="002D5A40">
        <w:t>Vstupní data jsou velmi přesně měřitelná a nejsou významně ovlivněna vnějšími faktory. Stupeň nejistoty je proto prakticky zanedbatelný (v případě že nedojde k ukončení provozu některé z existujících čis</w:t>
      </w:r>
      <w:r w:rsidR="00A902FF">
        <w:t>tíren odpadních vod).</w:t>
      </w:r>
    </w:p>
    <w:p w:rsidR="007879D0" w:rsidRPr="00FC7D3E" w:rsidRDefault="00A902FF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2013</w:t>
      </w:r>
    </w:p>
    <w:p w:rsidR="007879D0" w:rsidRPr="002D5A40" w:rsidRDefault="007879D0" w:rsidP="007879D0">
      <w:r w:rsidRPr="002D5A40">
        <w:t>Žádoucí vývoj dat na národní úrovni je meziroční růst.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Celkový počet ČOV v 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ks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2 065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2 091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2 158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2 188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2 251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2 318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2 382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změna)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ks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Změna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ks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Změna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ks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317</w:t>
            </w:r>
          </w:p>
        </w:tc>
      </w:tr>
    </w:tbl>
    <w:p w:rsidR="007879D0" w:rsidRPr="00FC7D3E" w:rsidRDefault="007879D0" w:rsidP="007879D0">
      <w:pPr>
        <w:rPr>
          <w:b/>
          <w:i/>
          <w:color w:val="76923C" w:themeColor="accent3" w:themeShade="BF"/>
        </w:rPr>
      </w:pPr>
    </w:p>
    <w:p w:rsidR="007879D0" w:rsidRPr="00FC7D3E" w:rsidRDefault="00A902FF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OPŽP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Celkový počet ČOV vybudovaných za podpory OPŽP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ks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103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2D5A40">
              <w:rPr>
                <w:sz w:val="18"/>
                <w:szCs w:val="18"/>
              </w:rPr>
              <w:t>0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IND = 100 (103 / 253) = 40,7 %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IND = 100 (13</w:t>
      </w:r>
      <w:r>
        <w:rPr>
          <w:b/>
        </w:rPr>
        <w:t>0</w:t>
      </w:r>
      <w:r w:rsidRPr="002D5A40">
        <w:rPr>
          <w:b/>
        </w:rPr>
        <w:t xml:space="preserve"> / </w:t>
      </w:r>
      <w:r>
        <w:rPr>
          <w:b/>
        </w:rPr>
        <w:t>317</w:t>
      </w:r>
      <w:r w:rsidRPr="002D5A40">
        <w:rPr>
          <w:b/>
        </w:rPr>
        <w:t>) = 4</w:t>
      </w:r>
      <w:r>
        <w:rPr>
          <w:b/>
        </w:rPr>
        <w:t>1</w:t>
      </w:r>
      <w:r w:rsidRPr="002D5A40">
        <w:rPr>
          <w:b/>
        </w:rPr>
        <w:t>,</w:t>
      </w:r>
      <w:r>
        <w:rPr>
          <w:b/>
        </w:rPr>
        <w:t>0</w:t>
      </w:r>
      <w:r w:rsidRPr="002D5A40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t xml:space="preserve">Z vypočítané hodnoty indikátoru vyplývá, že </w:t>
      </w:r>
      <w:r w:rsidRPr="002D5A40">
        <w:rPr>
          <w:b/>
        </w:rPr>
        <w:t>podíl intervencí OPŽP na celkovém</w:t>
      </w:r>
      <w:r w:rsidR="00A902FF">
        <w:rPr>
          <w:b/>
        </w:rPr>
        <w:t xml:space="preserve"> počtu čistíren odpadních vod, </w:t>
      </w:r>
      <w:r w:rsidRPr="002D5A40">
        <w:rPr>
          <w:b/>
        </w:rPr>
        <w:t>nově vy</w:t>
      </w:r>
      <w:r w:rsidR="00B17940">
        <w:rPr>
          <w:b/>
        </w:rPr>
        <w:t>budovaných v ČR v období 2007-</w:t>
      </w:r>
      <w:r w:rsidRPr="002D5A40">
        <w:rPr>
          <w:b/>
        </w:rPr>
        <w:t>201</w:t>
      </w:r>
      <w:r>
        <w:rPr>
          <w:b/>
        </w:rPr>
        <w:t>3</w:t>
      </w:r>
      <w:r w:rsidRPr="002D5A40">
        <w:rPr>
          <w:b/>
        </w:rPr>
        <w:t>, dosahuje více než 40 % a je tedy velmi významný.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  <w:color w:val="auto"/>
        </w:rPr>
      </w:pPr>
      <w:r w:rsidRPr="002D5A40">
        <w:t xml:space="preserve">Výroční zprávy OPŽP: </w:t>
      </w:r>
      <w:hyperlink r:id="rId12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Zpráva o stavu vodního hospodářství ČR (Modré zprávy): </w:t>
      </w:r>
      <w:hyperlink r:id="rId13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14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Statistické ročenky – Životní prostředí: </w:t>
      </w:r>
      <w:hyperlink r:id="rId15" w:history="1">
        <w:r w:rsidRPr="002D5A40">
          <w:rPr>
            <w:rStyle w:val="Hypertextovodkaz"/>
          </w:rPr>
          <w:t>http://www.mzp.cz/cz/statisticka_rocenka_zivotniho_prostredi_publikace</w:t>
        </w:r>
      </w:hyperlink>
      <w:r w:rsidRPr="002D5A40">
        <w:t xml:space="preserve"> </w:t>
      </w:r>
    </w:p>
    <w:p w:rsidR="007879D0" w:rsidRPr="002D5A40" w:rsidRDefault="007879D0" w:rsidP="007879D0"/>
    <w:p w:rsidR="007879D0" w:rsidRPr="002D5A40" w:rsidRDefault="007879D0">
      <w:pPr>
        <w:pStyle w:val="Nadpis3"/>
        <w:rPr>
          <w:b w:val="0"/>
        </w:rPr>
      </w:pPr>
      <w:bookmarkStart w:id="16" w:name="_Toc404179354"/>
      <w:bookmarkStart w:id="17" w:name="_Toc404179427"/>
      <w:r w:rsidRPr="002D5A40">
        <w:lastRenderedPageBreak/>
        <w:t xml:space="preserve">Počet obyvatel </w:t>
      </w:r>
      <w:r w:rsidRPr="00FC7D3E">
        <w:t>nově</w:t>
      </w:r>
      <w:r w:rsidRPr="002D5A40">
        <w:t xml:space="preserve"> připojených na vyhovující ČOV</w:t>
      </w:r>
      <w:bookmarkEnd w:id="16"/>
      <w:bookmarkEnd w:id="17"/>
    </w:p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4F66F9">
        <w:t>je dopad intervencí OPŽP 2007-</w:t>
      </w:r>
      <w:r w:rsidRPr="002D5A40">
        <w:t xml:space="preserve">2013 na celkový počet obyvatel ČR nově připojených na vyhovující čistírny odpadních vod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obyvatel nově připojených k vyhovujícím čistírnám odpadní</w:t>
      </w:r>
      <w:r w:rsidR="00A902FF">
        <w:t>ch vod za podpory z OPŽP 2007-</w:t>
      </w:r>
      <w:r w:rsidRPr="002D5A40">
        <w:t>2013 na celkovém počtu obyvatel</w:t>
      </w:r>
      <w:r w:rsidR="00A902FF">
        <w:t xml:space="preserve"> nově připojených k vyhovujícím</w:t>
      </w:r>
      <w:r w:rsidRPr="002D5A40">
        <w:t xml:space="preserve"> čistírnám </w:t>
      </w:r>
      <w:r w:rsidR="00A902FF">
        <w:t>odpadních v </w:t>
      </w:r>
      <w:r w:rsidRPr="002D5A40">
        <w:t>ČR v daném časovém období. Za vyhovující čistírnu odpadních vod se považuje čistírna s alespoň mechanicko-biologickým čištěním.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celkový počet obyvatel nově připojených v daném časovém obdo</w:t>
      </w:r>
      <w:r w:rsidR="00A902FF">
        <w:t xml:space="preserve">bí za podpory OPŽP 2007 – 2013 </w:t>
      </w:r>
      <w:r w:rsidRPr="002D5A40">
        <w:t>a X</w:t>
      </w:r>
      <w:r w:rsidRPr="002D5A40">
        <w:rPr>
          <w:vertAlign w:val="subscript"/>
        </w:rPr>
        <w:t>celk</w:t>
      </w:r>
      <w:r w:rsidRPr="002D5A40">
        <w:t xml:space="preserve"> je celkový počet nově připojených obyvatel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 xml:space="preserve">Dílčí indikátory podle velikosti aglomerace (do 2000 EO, 2000 </w:t>
      </w:r>
      <w:r w:rsidR="00A902FF">
        <w:t xml:space="preserve">EO – 10 000 EO, nad 10 000 EO) </w:t>
      </w:r>
      <w:r w:rsidRPr="002D5A40">
        <w:t>a</w:t>
      </w:r>
      <w:r w:rsidR="00A902FF">
        <w:t> </w:t>
      </w:r>
      <w:r w:rsidRPr="002D5A40">
        <w:t>podle stupně čištění (mechanicko-biologické, s dalším odstraňováním dusíku, s dalším odstraňováním fosforu, s dalším odstraňováním současně fosforu a dusíku).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B17940">
        <w:t>ající se intervencí OPŽP 2007-</w:t>
      </w:r>
      <w:r w:rsidRPr="002D5A40">
        <w:t>2013 jsou k dispozi</w:t>
      </w:r>
      <w:r w:rsidR="00A902FF">
        <w:t>ci v Informačním systému SFŽP a </w:t>
      </w:r>
      <w:r>
        <w:t>částečně</w:t>
      </w:r>
      <w:r w:rsidRPr="002D5A40">
        <w:t xml:space="preserve"> ve výročních zprávách OPŽP.</w:t>
      </w:r>
    </w:p>
    <w:p w:rsidR="007879D0" w:rsidRPr="002D5A40" w:rsidRDefault="007879D0" w:rsidP="007879D0">
      <w:r w:rsidRPr="002D5A40">
        <w:t xml:space="preserve">Data na národní úrovni jsou k dispozici např. v ročenkách Zpráva o stavu vodního hospodářství ČR (Modrá zpráva) a Vodovody a kanalizace ČR, vydávaných Ministerstvem zemědělství a také ve Statistických ročenkách – Životní prostředí, vydávaných Ministerstvem životního prostředí ve spolupráci s Českým statistickým úřadem.  </w:t>
      </w:r>
    </w:p>
    <w:p w:rsidR="007879D0" w:rsidRPr="002D5A40" w:rsidRDefault="007879D0" w:rsidP="007879D0">
      <w:r w:rsidRPr="002D5A40">
        <w:t>Vzhledem k tomu, že údaje o podílu obyvatel, připojených k vyhovujícím čistírnám odpadních vod nejsou explicitně sledovány, lze získat</w:t>
      </w:r>
      <w:r>
        <w:t xml:space="preserve"> kvalifikovaný odhad</w:t>
      </w:r>
      <w:r w:rsidRPr="002D5A40">
        <w:t xml:space="preserve"> jako násobek počtu obyva</w:t>
      </w:r>
      <w:r w:rsidR="002B6D4E">
        <w:t xml:space="preserve">tel připojených na kanalizaci </w:t>
      </w:r>
      <w:r w:rsidRPr="002D5A40">
        <w:t>a percentuálního podílu odpadních vod, které jsou alespoň mecha</w:t>
      </w:r>
      <w:r>
        <w:t>n</w:t>
      </w:r>
      <w:r w:rsidRPr="002D5A40">
        <w:t xml:space="preserve">icko-biologicky čištěny (s vyloučením čištěných srážkových vod).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>Vstupní data jsou velmi přesně měřitelná a nejsou významně ovlivněna vnějšími faktory. Stupeň nejistoty je proto prakticky zanedbatelný (v případě že nedojde k ukončení provozu některé z existujících čistíren odpadních vod či k odpojení významnějšího počtu obyvatel).</w:t>
      </w:r>
    </w:p>
    <w:p w:rsidR="007879D0" w:rsidRPr="00FC7D3E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2013</w:t>
      </w:r>
    </w:p>
    <w:p w:rsidR="007879D0" w:rsidRPr="002D5A40" w:rsidRDefault="007879D0" w:rsidP="007879D0">
      <w:r w:rsidRPr="002D5A40">
        <w:t>Žádoucí vývoj dat na národní úrovni je meziroční růst.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4"/>
        <w:gridCol w:w="899"/>
        <w:gridCol w:w="736"/>
        <w:gridCol w:w="736"/>
        <w:gridCol w:w="736"/>
        <w:gridCol w:w="736"/>
        <w:gridCol w:w="736"/>
        <w:gridCol w:w="736"/>
        <w:gridCol w:w="737"/>
      </w:tblGrid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2B6D4E" w:rsidP="007B3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Celkový počet obyvatel </w:t>
            </w:r>
            <w:r w:rsidR="007879D0" w:rsidRPr="002D5A40">
              <w:rPr>
                <w:sz w:val="18"/>
                <w:szCs w:val="18"/>
              </w:rPr>
              <w:t>v ČR připojených na kanalizaci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8 344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8 459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8 530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8 613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8 672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8 674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8 705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Podíl čištěných odpadních vod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%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95,8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95,3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95,2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96,2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96,8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97,1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Celkový počet obyvatel ČR připojených k vyhovující čistírně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7 994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8 061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8 121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8 286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8 394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8 422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8531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165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28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Změna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Změna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5160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537</w:t>
            </w:r>
          </w:p>
        </w:tc>
      </w:tr>
    </w:tbl>
    <w:p w:rsidR="007879D0" w:rsidRPr="002D5A40" w:rsidRDefault="007879D0" w:rsidP="007879D0"/>
    <w:p w:rsidR="007879D0" w:rsidRPr="00FC7D3E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="00CE5A27">
              <w:rPr>
                <w:sz w:val="18"/>
                <w:szCs w:val="18"/>
              </w:rPr>
              <w:t xml:space="preserve">: Celkový počet obyvatel </w:t>
            </w:r>
            <w:r w:rsidRPr="002D5A40">
              <w:rPr>
                <w:sz w:val="18"/>
                <w:szCs w:val="18"/>
              </w:rPr>
              <w:t>nově připojených k vyhovující čistírně za podpory OPŽP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51,5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50,0</w:t>
            </w:r>
          </w:p>
        </w:tc>
      </w:tr>
    </w:tbl>
    <w:p w:rsidR="007879D0" w:rsidRPr="00FC7D3E" w:rsidRDefault="007879D0" w:rsidP="007879D0">
      <w:pPr>
        <w:rPr>
          <w:i/>
          <w:color w:val="76923C" w:themeColor="accent3" w:themeShade="BF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IND = 100 (51,5 / 428) = 12,0 %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Pr="00FC7D3E" w:rsidRDefault="007879D0" w:rsidP="007879D0">
      <w:pPr>
        <w:rPr>
          <w:b/>
        </w:rPr>
      </w:pPr>
      <w:r w:rsidRPr="002D5A40">
        <w:rPr>
          <w:b/>
        </w:rPr>
        <w:t>IND = 100 (</w:t>
      </w:r>
      <w:r>
        <w:rPr>
          <w:b/>
        </w:rPr>
        <w:t>150</w:t>
      </w:r>
      <w:r w:rsidRPr="002D5A40">
        <w:rPr>
          <w:b/>
        </w:rPr>
        <w:t xml:space="preserve"> / </w:t>
      </w:r>
      <w:r>
        <w:rPr>
          <w:b/>
        </w:rPr>
        <w:t>537</w:t>
      </w:r>
      <w:r w:rsidRPr="002D5A40">
        <w:rPr>
          <w:b/>
        </w:rPr>
        <w:t xml:space="preserve">) = </w:t>
      </w:r>
      <w:r>
        <w:rPr>
          <w:b/>
        </w:rPr>
        <w:t>27</w:t>
      </w:r>
      <w:r w:rsidRPr="002D5A40">
        <w:rPr>
          <w:b/>
        </w:rPr>
        <w:t>,</w:t>
      </w:r>
      <w:r>
        <w:rPr>
          <w:b/>
        </w:rPr>
        <w:t>9</w:t>
      </w:r>
      <w:r w:rsidRPr="002D5A40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t xml:space="preserve">Z vypočítané hodnoty indikátoru vyplývá, že </w:t>
      </w:r>
      <w:r w:rsidRPr="002D5A40">
        <w:rPr>
          <w:b/>
        </w:rPr>
        <w:t>podíl intervencí O</w:t>
      </w:r>
      <w:r w:rsidR="005164E3">
        <w:rPr>
          <w:b/>
        </w:rPr>
        <w:t xml:space="preserve">PŽP na celkovém počtu obyvatel, nově </w:t>
      </w:r>
      <w:r w:rsidRPr="002D5A40">
        <w:rPr>
          <w:b/>
        </w:rPr>
        <w:t>připojených k vyhovující čistírně odp</w:t>
      </w:r>
      <w:r w:rsidR="005164E3">
        <w:rPr>
          <w:b/>
        </w:rPr>
        <w:t>adních vod v ČR v období 2007-</w:t>
      </w:r>
      <w:r w:rsidRPr="002D5A40">
        <w:rPr>
          <w:b/>
        </w:rPr>
        <w:t>201</w:t>
      </w:r>
      <w:r>
        <w:rPr>
          <w:b/>
        </w:rPr>
        <w:t>3</w:t>
      </w:r>
      <w:r w:rsidRPr="002D5A40">
        <w:rPr>
          <w:b/>
        </w:rPr>
        <w:t xml:space="preserve">, dosahuje </w:t>
      </w:r>
      <w:r>
        <w:rPr>
          <w:b/>
        </w:rPr>
        <w:t>téměř 28</w:t>
      </w:r>
      <w:r w:rsidR="00CE5A27">
        <w:rPr>
          <w:b/>
        </w:rPr>
        <w:t xml:space="preserve"> % a je tedy</w:t>
      </w:r>
      <w:r w:rsidRPr="002D5A40">
        <w:rPr>
          <w:b/>
        </w:rPr>
        <w:t xml:space="preserve"> </w:t>
      </w:r>
      <w:r>
        <w:rPr>
          <w:b/>
        </w:rPr>
        <w:t xml:space="preserve">velmi </w:t>
      </w:r>
      <w:r w:rsidRPr="002D5A40">
        <w:rPr>
          <w:b/>
        </w:rPr>
        <w:t>významný.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  <w:color w:val="auto"/>
        </w:rPr>
      </w:pPr>
      <w:r w:rsidRPr="002D5A40">
        <w:t xml:space="preserve">Výroční zprávy OPŽP: </w:t>
      </w:r>
      <w:hyperlink r:id="rId16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lastRenderedPageBreak/>
        <w:t xml:space="preserve">Ročenky Zpráva o stavu vodního hospodářství ČR (Modré zprávy): </w:t>
      </w:r>
      <w:hyperlink r:id="rId17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18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Statistické ročenky – Životní prostředí: </w:t>
      </w:r>
      <w:hyperlink r:id="rId19" w:history="1">
        <w:r w:rsidRPr="002D5A40">
          <w:rPr>
            <w:rStyle w:val="Hypertextovodkaz"/>
          </w:rPr>
          <w:t>http://www.mzp.cz/cz/statisticka_rocenka_zivotniho_prostredi_publikace</w:t>
        </w:r>
      </w:hyperlink>
      <w:r w:rsidRPr="002D5A40">
        <w:t xml:space="preserve"> </w:t>
      </w:r>
    </w:p>
    <w:p w:rsidR="00CE5A27" w:rsidRPr="002D5A40" w:rsidRDefault="00CE5A27" w:rsidP="00FC7D3E">
      <w:pPr>
        <w:pStyle w:val="Odstavecseseznamem"/>
        <w:spacing w:after="160" w:line="259" w:lineRule="auto"/>
        <w:jc w:val="left"/>
      </w:pPr>
    </w:p>
    <w:p w:rsidR="007879D0" w:rsidRPr="00FC7D3E" w:rsidRDefault="007879D0" w:rsidP="00FC7D3E">
      <w:pPr>
        <w:pStyle w:val="Nadpis3"/>
      </w:pPr>
      <w:bookmarkStart w:id="18" w:name="_Toc404179355"/>
      <w:bookmarkStart w:id="19" w:name="_Toc404179428"/>
      <w:r w:rsidRPr="002D5A40">
        <w:t xml:space="preserve">Odstraněné znečištění z </w:t>
      </w:r>
      <w:r w:rsidRPr="00FC7D3E">
        <w:t>odpadních</w:t>
      </w:r>
      <w:r w:rsidRPr="002D5A40">
        <w:t xml:space="preserve"> vod v parametru BSK</w:t>
      </w:r>
      <w:r w:rsidRPr="002D5A40">
        <w:rPr>
          <w:vertAlign w:val="subscript"/>
        </w:rPr>
        <w:t>5</w:t>
      </w:r>
      <w:bookmarkEnd w:id="18"/>
      <w:bookmarkEnd w:id="19"/>
      <w:r w:rsidRPr="002D5A40">
        <w:t xml:space="preserve">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pPr>
        <w:rPr>
          <w:vertAlign w:val="subscript"/>
        </w:rPr>
      </w:pPr>
      <w:r w:rsidRPr="002D5A40">
        <w:t>Indikátor stanovuje dopad intervencí OPŽP</w:t>
      </w:r>
      <w:r w:rsidR="00B17940">
        <w:t xml:space="preserve"> 2007-</w:t>
      </w:r>
      <w:r w:rsidR="005164E3">
        <w:t>2013 na celkové snížení</w:t>
      </w:r>
      <w:r w:rsidRPr="002D5A40">
        <w:t xml:space="preserve"> znečištění vypouštěného v ČR do povrchových vod v parametru BSK</w:t>
      </w:r>
      <w:r w:rsidRPr="002D5A40">
        <w:rPr>
          <w:vertAlign w:val="subscript"/>
        </w:rPr>
        <w:t>5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vypouštěného znečištění v parametru BSK</w:t>
      </w:r>
      <w:r w:rsidRPr="002D5A40">
        <w:rPr>
          <w:vertAlign w:val="subscript"/>
        </w:rPr>
        <w:t>5</w:t>
      </w:r>
      <w:r w:rsidRPr="002D5A40">
        <w:t xml:space="preserve"> z bodových zdrojů, dosaženého prostře</w:t>
      </w:r>
      <w:r w:rsidR="00B17940">
        <w:t>dnictvím intervencí OPŽP 2007-</w:t>
      </w:r>
      <w:r w:rsidRPr="002D5A40">
        <w:t>2013 na celkovém snížení vypouštěn</w:t>
      </w:r>
      <w:r w:rsidR="00A70FDB">
        <w:t xml:space="preserve">ého znečištění v daném časovém </w:t>
      </w:r>
      <w:r w:rsidRPr="002D5A40">
        <w:t>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vypouštěného znečištění vyv</w:t>
      </w:r>
      <w:r w:rsidR="00B17940">
        <w:t>olané podporou OPŽP 2007-</w:t>
      </w:r>
      <w:r w:rsidR="005164E3">
        <w:t>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celkové snížení vypouštěného znečištění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Nejsou navrhovány.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 xml:space="preserve">Data týkající se intervencí OPŽP </w:t>
      </w:r>
      <w:r w:rsidR="00B17940">
        <w:t>2007-</w:t>
      </w:r>
      <w:r w:rsidRPr="002D5A40">
        <w:t>2013 jsou k dispozi</w:t>
      </w:r>
      <w:r w:rsidR="00B17940">
        <w:t>ci v Informačním systému SFŽP a </w:t>
      </w:r>
      <w:r>
        <w:t>částečně</w:t>
      </w:r>
      <w:r w:rsidRPr="002D5A40">
        <w:t xml:space="preserve"> ve výročních zprávách OPŽP.</w:t>
      </w:r>
    </w:p>
    <w:p w:rsidR="007879D0" w:rsidRDefault="007879D0" w:rsidP="007879D0">
      <w:r w:rsidRPr="002D5A40">
        <w:t xml:space="preserve">Data na národní úrovni jsou k dispozici v ročenkách Zpráva o stavu vodního hospodářství ČR (Modrá zpráva), vydávaných Ministerstvem zemědělství a ve Statistických ročenkách – Životní prostředí, vydávaných Ministerstvem životního prostředí ve spolupráci s Českým statistickým úřadem.  </w:t>
      </w:r>
    </w:p>
    <w:p w:rsidR="004261E3" w:rsidRPr="002D5A40" w:rsidRDefault="004261E3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Nejistota</w:t>
      </w:r>
    </w:p>
    <w:p w:rsidR="007879D0" w:rsidRPr="005164E3" w:rsidRDefault="007879D0" w:rsidP="007879D0">
      <w:r w:rsidRPr="002D5A40">
        <w:t>Data na národní úrovni mohou být ovlivněna mimořádnými událostmi (např. havárie významné čistírny odpadních vod), což může vést až k meziročnímu zvýšení množství vypouštěného znečištění (k čemuž došlo v roce 2010) a také vývojem celkového množství produkovaného znečištění.</w:t>
      </w:r>
    </w:p>
    <w:p w:rsidR="007879D0" w:rsidRPr="00FC7D3E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2012 (2013)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4"/>
        <w:gridCol w:w="899"/>
        <w:gridCol w:w="736"/>
        <w:gridCol w:w="736"/>
        <w:gridCol w:w="736"/>
        <w:gridCol w:w="736"/>
        <w:gridCol w:w="736"/>
        <w:gridCol w:w="736"/>
        <w:gridCol w:w="737"/>
      </w:tblGrid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rPr>
                <w:sz w:val="18"/>
                <w:szCs w:val="18"/>
                <w:shd w:val="clear" w:color="auto" w:fill="C2D69B" w:themeFill="accent3" w:themeFillTint="99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2012</w:t>
            </w:r>
          </w:p>
        </w:tc>
        <w:tc>
          <w:tcPr>
            <w:tcW w:w="738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2013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A70FDB" w:rsidP="007B3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Celkové vypouštěné</w:t>
            </w:r>
            <w:r w:rsidR="007879D0" w:rsidRPr="002D5A40">
              <w:rPr>
                <w:sz w:val="18"/>
                <w:szCs w:val="18"/>
              </w:rPr>
              <w:t xml:space="preserve"> znečištění v ČR 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7 858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7 736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7 194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7 233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6 789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6 141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6 049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X</w:t>
            </w:r>
            <w:r w:rsidRPr="002D5A40">
              <w:rPr>
                <w:sz w:val="18"/>
                <w:szCs w:val="18"/>
                <w:vertAlign w:val="subscript"/>
              </w:rPr>
              <w:t>celk</w:t>
            </w:r>
            <w:r w:rsidRPr="002D5A40">
              <w:rPr>
                <w:sz w:val="18"/>
                <w:szCs w:val="18"/>
              </w:rPr>
              <w:t xml:space="preserve"> (meziroční změna)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(-122)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(-542)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39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(-444)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(-648)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(-92)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Změna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(- 1 717)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Změna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5160" w:type="dxa"/>
            <w:gridSpan w:val="7"/>
            <w:shd w:val="clear" w:color="auto" w:fill="EAF1DD" w:themeFill="accent3" w:themeFillTint="33"/>
          </w:tcPr>
          <w:p w:rsidR="007879D0" w:rsidRPr="00751B6E" w:rsidRDefault="007879D0" w:rsidP="007B3CDE">
            <w:pPr>
              <w:pStyle w:val="Odstavecseseznamem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(- 1 809)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2D5A40" w:rsidRDefault="007879D0" w:rsidP="007879D0">
      <w:pPr>
        <w:rPr>
          <w:i/>
        </w:rPr>
      </w:pPr>
      <w:r w:rsidRPr="002D5A40">
        <w:rPr>
          <w:i/>
        </w:rPr>
        <w:t xml:space="preserve">Pomocné údaje: 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4"/>
        <w:gridCol w:w="899"/>
        <w:gridCol w:w="736"/>
        <w:gridCol w:w="736"/>
        <w:gridCol w:w="736"/>
        <w:gridCol w:w="736"/>
        <w:gridCol w:w="736"/>
        <w:gridCol w:w="736"/>
        <w:gridCol w:w="737"/>
      </w:tblGrid>
      <w:tr w:rsidR="007879D0" w:rsidRPr="005164E3" w:rsidTr="005164E3">
        <w:tc>
          <w:tcPr>
            <w:tcW w:w="3060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rPr>
                <w:sz w:val="18"/>
                <w:szCs w:val="18"/>
                <w:shd w:val="clear" w:color="auto" w:fill="C2D69B" w:themeFill="accent3" w:themeFillTint="99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2012</w:t>
            </w:r>
          </w:p>
        </w:tc>
        <w:tc>
          <w:tcPr>
            <w:tcW w:w="738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2013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5164E3" w:rsidRDefault="00A70FDB">
            <w:pPr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 xml:space="preserve">Celkové </w:t>
            </w:r>
            <w:r w:rsidR="007879D0" w:rsidRPr="005164E3">
              <w:rPr>
                <w:sz w:val="18"/>
                <w:szCs w:val="18"/>
                <w:shd w:val="clear" w:color="auto" w:fill="C2D69B" w:themeFill="accent3" w:themeFillTint="99"/>
              </w:rPr>
              <w:t xml:space="preserve">produkované znečištění v ČR 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248,7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249,0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245,3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249,7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243,4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249,7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255,9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 xml:space="preserve">Meziroční změna)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0,3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(- 3,7)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4,4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(- 6,3)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6,3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(-40,7)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rPr>
                <w:b/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b/>
                <w:sz w:val="18"/>
                <w:szCs w:val="18"/>
                <w:shd w:val="clear" w:color="auto" w:fill="C2D69B" w:themeFill="accent3" w:themeFillTint="99"/>
              </w:rPr>
              <w:t>Změna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color w:val="FF0000"/>
                <w:sz w:val="18"/>
                <w:szCs w:val="18"/>
              </w:rPr>
              <w:t>1,0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rPr>
                <w:b/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b/>
                <w:sz w:val="18"/>
                <w:szCs w:val="18"/>
                <w:shd w:val="clear" w:color="auto" w:fill="C2D69B" w:themeFill="accent3" w:themeFillTint="99"/>
              </w:rPr>
              <w:t>Změna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60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A379B7">
              <w:rPr>
                <w:b/>
                <w:color w:val="FF0000"/>
                <w:sz w:val="18"/>
                <w:szCs w:val="18"/>
              </w:rPr>
              <w:t>7,2</w:t>
            </w:r>
          </w:p>
        </w:tc>
      </w:tr>
    </w:tbl>
    <w:p w:rsidR="007879D0" w:rsidRPr="002D5A40" w:rsidRDefault="007879D0" w:rsidP="007879D0"/>
    <w:p w:rsidR="007879D0" w:rsidRPr="00FC7D3E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</w:t>
      </w:r>
      <w:r w:rsidR="004F66F9">
        <w:rPr>
          <w:b/>
          <w:i/>
          <w:color w:val="76923C" w:themeColor="accent3" w:themeShade="BF"/>
        </w:rPr>
        <w:t xml:space="preserve"> </w:t>
      </w:r>
      <w:r>
        <w:rPr>
          <w:b/>
          <w:i/>
          <w:color w:val="76923C" w:themeColor="accent3" w:themeShade="BF"/>
        </w:rPr>
        <w:t>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5164E3" w:rsidRDefault="007879D0" w:rsidP="005164E3">
            <w:pPr>
              <w:ind w:firstLine="708"/>
              <w:rPr>
                <w:sz w:val="18"/>
                <w:szCs w:val="18"/>
                <w:shd w:val="clear" w:color="auto" w:fill="C2D69B" w:themeFill="accent3" w:themeFillTint="99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5164E3">
              <w:rPr>
                <w:shd w:val="clear" w:color="auto" w:fill="C2D69B" w:themeFill="accent3" w:themeFillTint="99"/>
              </w:rPr>
              <w:t>X</w:t>
            </w:r>
            <w:r w:rsidRPr="005164E3">
              <w:rPr>
                <w:shd w:val="clear" w:color="auto" w:fill="C2D69B" w:themeFill="accent3" w:themeFillTint="99"/>
                <w:vertAlign w:val="subscript"/>
              </w:rPr>
              <w:t>OPZP</w:t>
            </w: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: Snížení vypouštěného znečištění vlivem podpory OP</w:t>
            </w:r>
            <w:r w:rsidR="004F66F9">
              <w:rPr>
                <w:sz w:val="18"/>
                <w:szCs w:val="18"/>
                <w:shd w:val="clear" w:color="auto" w:fill="C2D69B" w:themeFill="accent3" w:themeFillTint="99"/>
              </w:rPr>
              <w:t xml:space="preserve"> </w:t>
            </w: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ŽP (kumulativní hodnota</w:t>
            </w:r>
            <w:r w:rsidRPr="002D5A40">
              <w:rPr>
                <w:sz w:val="18"/>
                <w:szCs w:val="18"/>
              </w:rPr>
              <w:t>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1 273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5 053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Default="007879D0" w:rsidP="007879D0">
      <w:pPr>
        <w:rPr>
          <w:b/>
        </w:rPr>
      </w:pPr>
      <w:r w:rsidRPr="002D5A40">
        <w:rPr>
          <w:b/>
        </w:rPr>
        <w:t>IND = 100 (1273 / 1717) = 74,1 %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Pr="00063654" w:rsidRDefault="007879D0" w:rsidP="007879D0">
      <w:pPr>
        <w:rPr>
          <w:b/>
          <w:color w:val="FF0000"/>
        </w:rPr>
      </w:pPr>
      <w:r w:rsidRPr="002D5A40">
        <w:rPr>
          <w:b/>
        </w:rPr>
        <w:t>IND = 100 (</w:t>
      </w:r>
      <w:r>
        <w:rPr>
          <w:b/>
        </w:rPr>
        <w:t>5 053</w:t>
      </w:r>
      <w:r w:rsidRPr="002D5A40">
        <w:rPr>
          <w:b/>
        </w:rPr>
        <w:t xml:space="preserve"> / </w:t>
      </w:r>
      <w:r>
        <w:rPr>
          <w:b/>
        </w:rPr>
        <w:t>1 809</w:t>
      </w:r>
      <w:r w:rsidRPr="002D5A40">
        <w:rPr>
          <w:b/>
        </w:rPr>
        <w:t xml:space="preserve">) = </w:t>
      </w:r>
      <w:r w:rsidRPr="00063654">
        <w:rPr>
          <w:b/>
          <w:color w:val="FF0000"/>
        </w:rPr>
        <w:t>2</w:t>
      </w:r>
      <w:r>
        <w:rPr>
          <w:b/>
          <w:color w:val="FF0000"/>
        </w:rPr>
        <w:t>77</w:t>
      </w:r>
      <w:r w:rsidRPr="00063654">
        <w:rPr>
          <w:b/>
          <w:color w:val="FF0000"/>
        </w:rPr>
        <w:t>,</w:t>
      </w:r>
      <w:r>
        <w:rPr>
          <w:b/>
          <w:color w:val="FF0000"/>
        </w:rPr>
        <w:t>7</w:t>
      </w:r>
      <w:r w:rsidRPr="00063654">
        <w:rPr>
          <w:b/>
          <w:color w:val="FF0000"/>
        </w:rPr>
        <w:t xml:space="preserve"> %</w:t>
      </w:r>
      <w:r>
        <w:rPr>
          <w:b/>
          <w:color w:val="FF0000"/>
        </w:rPr>
        <w:t xml:space="preserve"> (lze vysv</w:t>
      </w:r>
      <w:r w:rsidR="00B17940">
        <w:rPr>
          <w:b/>
          <w:color w:val="FF0000"/>
        </w:rPr>
        <w:t>ětlit kolísáním produkovaného a </w:t>
      </w:r>
      <w:r>
        <w:rPr>
          <w:b/>
          <w:color w:val="FF0000"/>
        </w:rPr>
        <w:t>vypouštěného znečištění na národní úrovni)</w:t>
      </w:r>
    </w:p>
    <w:p w:rsidR="007879D0" w:rsidRPr="002D5A40" w:rsidRDefault="007879D0" w:rsidP="007879D0">
      <w:pPr>
        <w:rPr>
          <w:b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Závěr</w:t>
      </w:r>
    </w:p>
    <w:p w:rsidR="007879D0" w:rsidRPr="002D5A40" w:rsidRDefault="007879D0" w:rsidP="007879D0">
      <w:pPr>
        <w:rPr>
          <w:b/>
        </w:rPr>
      </w:pPr>
      <w:r w:rsidRPr="002D5A40">
        <w:t xml:space="preserve">Z vypočítané hodnoty indikátoru je, s vědomím nejistot, vyvodit že </w:t>
      </w:r>
      <w:r w:rsidR="005164E3">
        <w:rPr>
          <w:b/>
        </w:rPr>
        <w:t>podíl intervencí OP ŽP na </w:t>
      </w:r>
      <w:r w:rsidRPr="002D5A40">
        <w:rPr>
          <w:b/>
        </w:rPr>
        <w:t>snížení vypouštěného znečištění, vyjádřeného parametrem BSK</w:t>
      </w:r>
      <w:r w:rsidRPr="002D5A40">
        <w:rPr>
          <w:b/>
          <w:vertAlign w:val="subscript"/>
        </w:rPr>
        <w:t>5</w:t>
      </w:r>
      <w:r w:rsidR="005164E3">
        <w:rPr>
          <w:b/>
        </w:rPr>
        <w:t xml:space="preserve"> v ČR v období 2007</w:t>
      </w:r>
      <w:r w:rsidR="005164E3">
        <w:rPr>
          <w:b/>
        </w:rPr>
        <w:noBreakHyphen/>
      </w:r>
      <w:r w:rsidRPr="002D5A40">
        <w:rPr>
          <w:b/>
        </w:rPr>
        <w:t>201</w:t>
      </w:r>
      <w:r>
        <w:rPr>
          <w:b/>
        </w:rPr>
        <w:t>3</w:t>
      </w:r>
      <w:r w:rsidR="00CE5A27">
        <w:rPr>
          <w:b/>
        </w:rPr>
        <w:t>,</w:t>
      </w:r>
      <w:r w:rsidRPr="002D5A40">
        <w:rPr>
          <w:b/>
        </w:rPr>
        <w:t xml:space="preserve"> velmi pravděpodobně dosahuje </w:t>
      </w:r>
      <w:r>
        <w:rPr>
          <w:b/>
        </w:rPr>
        <w:t>nejméně</w:t>
      </w:r>
      <w:r w:rsidR="00CE5A27">
        <w:rPr>
          <w:b/>
        </w:rPr>
        <w:t xml:space="preserve"> tří čtvrtin a je tedy</w:t>
      </w:r>
      <w:r w:rsidRPr="002D5A40">
        <w:rPr>
          <w:b/>
        </w:rPr>
        <w:t xml:space="preserve"> rozhodující.</w:t>
      </w:r>
    </w:p>
    <w:p w:rsidR="007879D0" w:rsidRPr="002D5A40" w:rsidRDefault="007879D0" w:rsidP="007879D0">
      <w:r w:rsidRPr="002D5A40">
        <w:rPr>
          <w:b/>
        </w:rPr>
        <w:t>SFŽP by měl prověřit kompatibilitu své metodiky s metodikou na národní úrovni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  <w:color w:val="auto"/>
        </w:rPr>
      </w:pPr>
      <w:r w:rsidRPr="002D5A40">
        <w:t>Výroční zprávy OP</w:t>
      </w:r>
      <w:r w:rsidR="004F66F9">
        <w:t xml:space="preserve"> </w:t>
      </w:r>
      <w:r w:rsidRPr="002D5A40">
        <w:t xml:space="preserve">ŽP: </w:t>
      </w:r>
      <w:hyperlink r:id="rId20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Zpráva o stavu vodního hospodářství ČR (Modré zprávy): </w:t>
      </w:r>
      <w:hyperlink r:id="rId21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22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Statistické ročenky – Životní prostředí: </w:t>
      </w:r>
      <w:hyperlink r:id="rId23" w:history="1">
        <w:r w:rsidRPr="002D5A40">
          <w:rPr>
            <w:rStyle w:val="Hypertextovodkaz"/>
          </w:rPr>
          <w:t>http://www.mzp.cz/cz/statisticka_rocenka_zivotniho_prostredi_publikace</w:t>
        </w:r>
      </w:hyperlink>
      <w:r w:rsidRPr="002D5A40">
        <w:t xml:space="preserve"> </w:t>
      </w:r>
    </w:p>
    <w:p w:rsidR="00CE5A27" w:rsidRPr="002D5A40" w:rsidRDefault="00CE5A27" w:rsidP="00FC7D3E">
      <w:pPr>
        <w:pStyle w:val="Odstavecseseznamem"/>
        <w:spacing w:after="160" w:line="259" w:lineRule="auto"/>
        <w:jc w:val="left"/>
      </w:pPr>
    </w:p>
    <w:p w:rsidR="007879D0" w:rsidRPr="00FC7D3E" w:rsidRDefault="007879D0" w:rsidP="000155DB">
      <w:pPr>
        <w:pStyle w:val="Nadpis3"/>
        <w:rPr>
          <w:vertAlign w:val="subscript"/>
        </w:rPr>
      </w:pPr>
      <w:bookmarkStart w:id="20" w:name="_Toc404179356"/>
      <w:bookmarkStart w:id="21" w:name="_Toc404179429"/>
      <w:r w:rsidRPr="002D5A40">
        <w:t>Odstraněné znečištění v </w:t>
      </w:r>
      <w:r w:rsidRPr="00FC7D3E">
        <w:t>parametru</w:t>
      </w:r>
      <w:r w:rsidRPr="002D5A40">
        <w:t xml:space="preserve"> CHSK</w:t>
      </w:r>
      <w:r w:rsidRPr="002D5A40">
        <w:rPr>
          <w:vertAlign w:val="subscript"/>
        </w:rPr>
        <w:t>Cr</w:t>
      </w:r>
      <w:bookmarkEnd w:id="20"/>
      <w:bookmarkEnd w:id="21"/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pPr>
        <w:rPr>
          <w:vertAlign w:val="subscript"/>
        </w:rPr>
      </w:pPr>
      <w:r w:rsidRPr="002D5A40">
        <w:t>Indikátor stanovuje dopad intervencí OP</w:t>
      </w:r>
      <w:r w:rsidR="004F66F9">
        <w:t xml:space="preserve"> </w:t>
      </w:r>
      <w:r w:rsidRPr="002D5A40">
        <w:t>ŽP</w:t>
      </w:r>
      <w:r w:rsidR="00B17940">
        <w:t xml:space="preserve"> 2007-</w:t>
      </w:r>
      <w:r w:rsidR="00FC7D3E">
        <w:t>2013 na celkové snížení</w:t>
      </w:r>
      <w:r w:rsidRPr="002D5A40">
        <w:t xml:space="preserve"> znečištění vypouštěného v ČR do povrchových vod v indikátoru CHSK</w:t>
      </w:r>
      <w:r w:rsidRPr="002D5A40">
        <w:rPr>
          <w:vertAlign w:val="subscript"/>
        </w:rPr>
        <w:t>Cr</w:t>
      </w:r>
      <w:r w:rsidR="005164E3">
        <w:rPr>
          <w:vertAlign w:val="subscript"/>
        </w:rPr>
        <w:t>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vypouštěného znečištění v parametru CHSK</w:t>
      </w:r>
      <w:r w:rsidRPr="002D5A40">
        <w:rPr>
          <w:vertAlign w:val="subscript"/>
        </w:rPr>
        <w:t>5Cr</w:t>
      </w:r>
      <w:r w:rsidRPr="002D5A40">
        <w:t xml:space="preserve"> z bodových zdrojů, dosaženého prostřednictvím</w:t>
      </w:r>
      <w:r w:rsidR="00B17940">
        <w:t xml:space="preserve"> intervencí OP</w:t>
      </w:r>
      <w:r w:rsidR="004F66F9">
        <w:t xml:space="preserve"> </w:t>
      </w:r>
      <w:r w:rsidR="00B17940">
        <w:t>ŽP 2007-</w:t>
      </w:r>
      <w:r w:rsidRPr="002D5A40">
        <w:t>2013 na celkovém snížení vypouště</w:t>
      </w:r>
      <w:r w:rsidR="00FC7D3E">
        <w:t>ného znečištění v daném časovém</w:t>
      </w:r>
      <w:r w:rsidRPr="002D5A40">
        <w:t xml:space="preserve">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 xml:space="preserve">Výpočet 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vypouštěného znečištění vyv</w:t>
      </w:r>
      <w:r w:rsidR="005164E3">
        <w:t>olané podporou OP</w:t>
      </w:r>
      <w:r w:rsidR="004F66F9">
        <w:t xml:space="preserve"> </w:t>
      </w:r>
      <w:r w:rsidR="005164E3">
        <w:t>ŽP 2007-</w:t>
      </w:r>
      <w:r w:rsidR="00FC7D3E">
        <w:t>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celkové snížení vypouštěného znečištění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Nejsou navrhovány.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lastRenderedPageBreak/>
        <w:t>Data týkající se intervencí OP</w:t>
      </w:r>
      <w:r w:rsidR="005164E3">
        <w:t xml:space="preserve"> ŽP 2007-</w:t>
      </w:r>
      <w:r w:rsidRPr="002D5A40">
        <w:t>2013 jsou k dispozi</w:t>
      </w:r>
      <w:r w:rsidR="005164E3">
        <w:t>ci v Informačním systému SFŽP a </w:t>
      </w:r>
      <w:r>
        <w:t>částečně</w:t>
      </w:r>
      <w:r w:rsidRPr="002D5A40">
        <w:t xml:space="preserve"> ve výročních zprávách OP</w:t>
      </w:r>
      <w:r w:rsidR="005164E3">
        <w:t xml:space="preserve"> </w:t>
      </w:r>
      <w:r w:rsidRPr="002D5A40">
        <w:t>ŽP.</w:t>
      </w:r>
    </w:p>
    <w:p w:rsidR="007879D0" w:rsidRPr="002D5A40" w:rsidRDefault="007879D0" w:rsidP="007879D0">
      <w:r w:rsidRPr="002D5A40">
        <w:t xml:space="preserve">Data na národní úrovni jsou k dispozici v ročenkách Zpráva o stavu vodního hospodářství ČR (Modrá zpráva), vydávaných Ministerstvem zemědělství a ve Statistických ročenkách – Životní 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>Data na národní úrovni mohou být ovlivněny mimořádnými událostmi (např. havárie významné čistírny odpadních vod), což může vést až k meziročnímu zvýšení množství vypouštěného znečištění (k čemuž došlo v roce 2010) a také vývojem celkového množství produkovaného znečištění.</w:t>
      </w:r>
    </w:p>
    <w:p w:rsidR="007879D0" w:rsidRPr="00FC7D3E" w:rsidRDefault="00CE5A27" w:rsidP="007879D0">
      <w:pPr>
        <w:rPr>
          <w:b/>
          <w:i/>
          <w:color w:val="76923C" w:themeColor="accent3" w:themeShade="BF"/>
        </w:rPr>
      </w:pPr>
      <w:r>
        <w:t xml:space="preserve"> </w:t>
      </w:r>
      <w:r w:rsidR="007879D0" w:rsidRPr="00FC7D3E">
        <w:rPr>
          <w:b/>
          <w:i/>
          <w:color w:val="76923C" w:themeColor="accent3" w:themeShade="BF"/>
        </w:rPr>
        <w:t>Data ČR 2007 – 2012 (2013)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41" w:type="dxa"/>
        <w:tblLook w:val="04A0" w:firstRow="1" w:lastRow="0" w:firstColumn="1" w:lastColumn="0" w:noHBand="0" w:noVBand="1"/>
      </w:tblPr>
      <w:tblGrid>
        <w:gridCol w:w="2705"/>
        <w:gridCol w:w="899"/>
        <w:gridCol w:w="736"/>
        <w:gridCol w:w="793"/>
        <w:gridCol w:w="849"/>
        <w:gridCol w:w="736"/>
        <w:gridCol w:w="793"/>
        <w:gridCol w:w="793"/>
        <w:gridCol w:w="737"/>
      </w:tblGrid>
      <w:tr w:rsidR="007879D0" w:rsidRPr="002D5A40" w:rsidTr="005164E3">
        <w:tc>
          <w:tcPr>
            <w:tcW w:w="272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2721" w:type="dxa"/>
            <w:shd w:val="clear" w:color="auto" w:fill="C2D69B" w:themeFill="accent3" w:themeFillTint="99"/>
          </w:tcPr>
          <w:p w:rsidR="007879D0" w:rsidRPr="002D5A40" w:rsidRDefault="007879D0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Celkové vypouštěné znečištění v ČR 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48 784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45 482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44 343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46 028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42 679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40 822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40 100</w:t>
            </w:r>
          </w:p>
        </w:tc>
      </w:tr>
      <w:tr w:rsidR="007879D0" w:rsidRPr="002D5A40" w:rsidTr="005164E3">
        <w:tc>
          <w:tcPr>
            <w:tcW w:w="272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změna)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FC7D3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(-3 302)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7879D0" w:rsidRPr="002D5A40" w:rsidRDefault="00CE5A27" w:rsidP="007B3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7879D0" w:rsidRPr="002D5A40">
              <w:rPr>
                <w:sz w:val="18"/>
                <w:szCs w:val="18"/>
              </w:rPr>
              <w:t>-1 439)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1 685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FC7D3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(-3 349)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FC7D3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(-1 857)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(-722)</w:t>
            </w:r>
          </w:p>
        </w:tc>
      </w:tr>
      <w:tr w:rsidR="007879D0" w:rsidRPr="002D5A40" w:rsidTr="005164E3">
        <w:tc>
          <w:tcPr>
            <w:tcW w:w="272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4706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(- 7 926)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272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5444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(-8 684)</w:t>
            </w:r>
          </w:p>
        </w:tc>
      </w:tr>
    </w:tbl>
    <w:p w:rsidR="007879D0" w:rsidRPr="002D5A40" w:rsidRDefault="007879D0" w:rsidP="007879D0">
      <w:pPr>
        <w:rPr>
          <w:i/>
        </w:rPr>
      </w:pPr>
    </w:p>
    <w:p w:rsidR="007879D0" w:rsidRPr="002D5A40" w:rsidRDefault="007879D0" w:rsidP="007879D0">
      <w:pPr>
        <w:rPr>
          <w:i/>
        </w:rPr>
      </w:pPr>
      <w:r w:rsidRPr="002D5A40">
        <w:rPr>
          <w:i/>
        </w:rPr>
        <w:t xml:space="preserve">Pomocné údaje: 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4"/>
        <w:gridCol w:w="899"/>
        <w:gridCol w:w="736"/>
        <w:gridCol w:w="736"/>
        <w:gridCol w:w="736"/>
        <w:gridCol w:w="736"/>
        <w:gridCol w:w="736"/>
        <w:gridCol w:w="736"/>
        <w:gridCol w:w="737"/>
      </w:tblGrid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A70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Celkové </w:t>
            </w:r>
            <w:r w:rsidR="007879D0" w:rsidRPr="002D5A40">
              <w:rPr>
                <w:sz w:val="18"/>
                <w:szCs w:val="18"/>
              </w:rPr>
              <w:t xml:space="preserve">produkované znečištění v ČR 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591,3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592,3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583,8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591,7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581,7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581,9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585,3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změna)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1,0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(- 8,5)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7,9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(-10,0)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0,2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A379B7">
              <w:rPr>
                <w:color w:val="FF0000"/>
                <w:sz w:val="18"/>
                <w:szCs w:val="18"/>
              </w:rPr>
              <w:t>3,4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Změna 2007 –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(- 9,4)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Změna 2007 –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60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(-6,0)</w:t>
            </w:r>
          </w:p>
        </w:tc>
      </w:tr>
    </w:tbl>
    <w:p w:rsidR="007879D0" w:rsidRPr="002D5A40" w:rsidRDefault="007879D0" w:rsidP="007879D0"/>
    <w:p w:rsidR="007879D0" w:rsidRPr="00FC7D3E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</w:t>
      </w:r>
      <w:r w:rsidR="004F66F9">
        <w:rPr>
          <w:b/>
          <w:i/>
          <w:color w:val="76923C" w:themeColor="accent3" w:themeShade="BF"/>
        </w:rPr>
        <w:t xml:space="preserve"> </w:t>
      </w:r>
      <w:r>
        <w:rPr>
          <w:b/>
          <w:i/>
          <w:color w:val="76923C" w:themeColor="accent3" w:themeShade="BF"/>
        </w:rPr>
        <w:t>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rPr>
                <w:sz w:val="18"/>
                <w:szCs w:val="18"/>
                <w:shd w:val="clear" w:color="auto" w:fill="C2D69B" w:themeFill="accent3" w:themeFillTint="99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5164E3" w:rsidRDefault="007879D0" w:rsidP="007B3CDE">
            <w:pPr>
              <w:jc w:val="center"/>
              <w:rPr>
                <w:sz w:val="18"/>
                <w:szCs w:val="18"/>
                <w:shd w:val="clear" w:color="auto" w:fill="C2D69B" w:themeFill="accent3" w:themeFillTint="99"/>
              </w:rPr>
            </w:pP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5164E3">
              <w:rPr>
                <w:shd w:val="clear" w:color="auto" w:fill="C2D69B" w:themeFill="accent3" w:themeFillTint="99"/>
              </w:rPr>
              <w:t>X</w:t>
            </w:r>
            <w:r w:rsidRPr="005164E3">
              <w:rPr>
                <w:shd w:val="clear" w:color="auto" w:fill="C2D69B" w:themeFill="accent3" w:themeFillTint="99"/>
                <w:vertAlign w:val="subscript"/>
              </w:rPr>
              <w:t>OPZP</w:t>
            </w: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: Snížení vypouštěného znečištění vlivem podpory OP</w:t>
            </w:r>
            <w:r w:rsidR="004F66F9">
              <w:rPr>
                <w:sz w:val="18"/>
                <w:szCs w:val="18"/>
                <w:shd w:val="clear" w:color="auto" w:fill="C2D69B" w:themeFill="accent3" w:themeFillTint="99"/>
              </w:rPr>
              <w:t xml:space="preserve"> </w:t>
            </w:r>
            <w:r w:rsidRPr="005164E3">
              <w:rPr>
                <w:sz w:val="18"/>
                <w:szCs w:val="18"/>
                <w:shd w:val="clear" w:color="auto" w:fill="C2D69B" w:themeFill="accent3" w:themeFillTint="99"/>
              </w:rPr>
              <w:t>ŽP (kumulativní hodnota</w:t>
            </w:r>
            <w:r w:rsidRPr="002D5A40">
              <w:rPr>
                <w:sz w:val="18"/>
                <w:szCs w:val="18"/>
              </w:rPr>
              <w:t>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2 636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10 543</w:t>
            </w:r>
          </w:p>
        </w:tc>
      </w:tr>
    </w:tbl>
    <w:p w:rsidR="007879D0" w:rsidRDefault="007879D0" w:rsidP="007879D0">
      <w:pPr>
        <w:rPr>
          <w:b/>
          <w:i/>
          <w:color w:val="76923C" w:themeColor="accent3" w:themeShade="BF"/>
        </w:rPr>
      </w:pPr>
    </w:p>
    <w:p w:rsidR="004261E3" w:rsidRPr="00FC7D3E" w:rsidRDefault="004261E3" w:rsidP="007879D0">
      <w:pPr>
        <w:rPr>
          <w:b/>
          <w:i/>
          <w:color w:val="76923C" w:themeColor="accent3" w:themeShade="BF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Výpočet hodnoty indikátoru k roku 2012</w:t>
      </w:r>
    </w:p>
    <w:p w:rsidR="007879D0" w:rsidRDefault="007879D0" w:rsidP="007879D0">
      <w:pPr>
        <w:rPr>
          <w:b/>
        </w:rPr>
      </w:pPr>
      <w:r w:rsidRPr="002D5A40">
        <w:rPr>
          <w:b/>
        </w:rPr>
        <w:t>IND = 100 (2 636/ 7 926) = 33,3 %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Pr="00063654" w:rsidRDefault="007879D0" w:rsidP="007879D0">
      <w:pPr>
        <w:rPr>
          <w:b/>
          <w:color w:val="FF0000"/>
        </w:rPr>
      </w:pPr>
      <w:r w:rsidRPr="002D5A40">
        <w:rPr>
          <w:b/>
        </w:rPr>
        <w:t>IND = 100 (</w:t>
      </w:r>
      <w:r>
        <w:rPr>
          <w:b/>
        </w:rPr>
        <w:t>10 543</w:t>
      </w:r>
      <w:r w:rsidRPr="002D5A40">
        <w:rPr>
          <w:b/>
        </w:rPr>
        <w:t xml:space="preserve">/ </w:t>
      </w:r>
      <w:r>
        <w:rPr>
          <w:b/>
        </w:rPr>
        <w:t>8</w:t>
      </w:r>
      <w:r w:rsidRPr="002D5A40">
        <w:rPr>
          <w:b/>
        </w:rPr>
        <w:t xml:space="preserve"> </w:t>
      </w:r>
      <w:r>
        <w:rPr>
          <w:b/>
        </w:rPr>
        <w:t>684</w:t>
      </w:r>
      <w:r w:rsidRPr="002D5A40">
        <w:rPr>
          <w:b/>
        </w:rPr>
        <w:t xml:space="preserve">) = </w:t>
      </w:r>
      <w:r w:rsidRPr="0039121F">
        <w:rPr>
          <w:b/>
          <w:color w:val="FF0000"/>
        </w:rPr>
        <w:t>121,4 %</w:t>
      </w:r>
      <w:r>
        <w:rPr>
          <w:b/>
          <w:color w:val="FF0000"/>
        </w:rPr>
        <w:t xml:space="preserve"> (lze vysv</w:t>
      </w:r>
      <w:r w:rsidR="005164E3">
        <w:rPr>
          <w:b/>
          <w:color w:val="FF0000"/>
        </w:rPr>
        <w:t>ětlit kolísáním produkovaného a </w:t>
      </w:r>
      <w:r>
        <w:rPr>
          <w:b/>
          <w:color w:val="FF0000"/>
        </w:rPr>
        <w:t>vypouštěného znečištění na národní úrovni)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t xml:space="preserve">Z vypočítané hodnoty indikátoru je, s vědomím nejistot, vyvodit že </w:t>
      </w:r>
      <w:r w:rsidR="005164E3">
        <w:rPr>
          <w:b/>
        </w:rPr>
        <w:t>podíl intervencí OP ŽP na </w:t>
      </w:r>
      <w:r w:rsidRPr="002D5A40">
        <w:rPr>
          <w:b/>
        </w:rPr>
        <w:t xml:space="preserve">snížení vypouštěného znečištění, vyjádřeného parametrem </w:t>
      </w:r>
      <w:r>
        <w:rPr>
          <w:b/>
        </w:rPr>
        <w:t>CH</w:t>
      </w:r>
      <w:r w:rsidRPr="002D5A40">
        <w:rPr>
          <w:b/>
        </w:rPr>
        <w:t>SK</w:t>
      </w:r>
      <w:r w:rsidRPr="002D5A40">
        <w:rPr>
          <w:b/>
          <w:vertAlign w:val="subscript"/>
        </w:rPr>
        <w:t>5</w:t>
      </w:r>
      <w:r>
        <w:rPr>
          <w:b/>
          <w:vertAlign w:val="subscript"/>
        </w:rPr>
        <w:t>Cr</w:t>
      </w:r>
      <w:r w:rsidR="005164E3">
        <w:rPr>
          <w:b/>
        </w:rPr>
        <w:t xml:space="preserve"> v ČR v období 2007-</w:t>
      </w:r>
      <w:r w:rsidRPr="002D5A40">
        <w:rPr>
          <w:b/>
        </w:rPr>
        <w:t>201</w:t>
      </w:r>
      <w:r>
        <w:rPr>
          <w:b/>
        </w:rPr>
        <w:t>3</w:t>
      </w:r>
      <w:r w:rsidR="00CE5A27">
        <w:rPr>
          <w:b/>
        </w:rPr>
        <w:t>,</w:t>
      </w:r>
      <w:r w:rsidRPr="002D5A40">
        <w:rPr>
          <w:b/>
        </w:rPr>
        <w:t xml:space="preserve"> </w:t>
      </w:r>
      <w:r>
        <w:rPr>
          <w:b/>
        </w:rPr>
        <w:t>je srovnatelný s celkovým snížením znečištění a</w:t>
      </w:r>
      <w:r w:rsidR="00CE5A27">
        <w:rPr>
          <w:b/>
        </w:rPr>
        <w:t xml:space="preserve"> je tedy</w:t>
      </w:r>
      <w:r w:rsidRPr="002D5A40">
        <w:rPr>
          <w:b/>
        </w:rPr>
        <w:t xml:space="preserve"> </w:t>
      </w:r>
      <w:r>
        <w:rPr>
          <w:b/>
        </w:rPr>
        <w:t>rozhodující</w:t>
      </w:r>
      <w:r w:rsidRPr="002D5A40">
        <w:rPr>
          <w:b/>
        </w:rPr>
        <w:t>.</w:t>
      </w:r>
    </w:p>
    <w:p w:rsidR="007879D0" w:rsidRPr="002D5A40" w:rsidRDefault="007879D0" w:rsidP="007879D0">
      <w:r w:rsidRPr="002D5A40">
        <w:rPr>
          <w:b/>
        </w:rPr>
        <w:t>SFŽP by měl prověřit kompatibilitu své metodiky s metodikou na národní úrovni</w:t>
      </w:r>
      <w:r>
        <w:rPr>
          <w:b/>
        </w:rPr>
        <w:t>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  <w:color w:val="auto"/>
        </w:rPr>
      </w:pPr>
      <w:r w:rsidRPr="002D5A40">
        <w:t>Výroční zprávy OP</w:t>
      </w:r>
      <w:r w:rsidR="004F66F9">
        <w:t xml:space="preserve"> </w:t>
      </w:r>
      <w:r w:rsidRPr="002D5A40">
        <w:t xml:space="preserve">ŽP: </w:t>
      </w:r>
      <w:hyperlink r:id="rId24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Zpráva o stavu vodního hospodářství ČR (Modré zprávy): </w:t>
      </w:r>
      <w:hyperlink r:id="rId25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26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Statistické ročenky – Životní prostředí: </w:t>
      </w:r>
      <w:hyperlink r:id="rId27" w:history="1">
        <w:r w:rsidRPr="002D5A40">
          <w:rPr>
            <w:rStyle w:val="Hypertextovodkaz"/>
          </w:rPr>
          <w:t>http://www.mzp.cz/cz/statisticka_rocenka_zivotniho_prostredi_publikace</w:t>
        </w:r>
      </w:hyperlink>
      <w:r w:rsidRPr="002D5A40">
        <w:t xml:space="preserve"> </w:t>
      </w:r>
    </w:p>
    <w:p w:rsidR="00CE5A27" w:rsidRPr="002D5A40" w:rsidRDefault="00CE5A27" w:rsidP="00FC7D3E">
      <w:pPr>
        <w:pStyle w:val="Odstavecseseznamem"/>
        <w:spacing w:after="160" w:line="259" w:lineRule="auto"/>
        <w:jc w:val="left"/>
      </w:pPr>
    </w:p>
    <w:p w:rsidR="007879D0" w:rsidRPr="00FC7D3E" w:rsidRDefault="007879D0" w:rsidP="00FC7D3E">
      <w:pPr>
        <w:pStyle w:val="Nadpis3"/>
      </w:pPr>
      <w:bookmarkStart w:id="22" w:name="_Toc404179357"/>
      <w:bookmarkStart w:id="23" w:name="_Toc404179430"/>
      <w:r w:rsidRPr="002D5A40">
        <w:t xml:space="preserve">Odstraněné </w:t>
      </w:r>
      <w:r w:rsidRPr="00FC7D3E">
        <w:t>znečištění</w:t>
      </w:r>
      <w:r w:rsidRPr="002D5A40">
        <w:t xml:space="preserve"> v parametru P</w:t>
      </w:r>
      <w:r w:rsidRPr="002D5A40">
        <w:rPr>
          <w:vertAlign w:val="subscript"/>
        </w:rPr>
        <w:t>celk.</w:t>
      </w:r>
      <w:bookmarkEnd w:id="22"/>
      <w:bookmarkEnd w:id="23"/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pPr>
        <w:rPr>
          <w:vertAlign w:val="subscript"/>
        </w:rPr>
      </w:pPr>
      <w:r w:rsidRPr="002D5A40">
        <w:t>Indikátor stanovuje dopad intervencí OP</w:t>
      </w:r>
      <w:r w:rsidR="005164E3">
        <w:t xml:space="preserve"> </w:t>
      </w:r>
      <w:r w:rsidRPr="002D5A40">
        <w:t xml:space="preserve">ŽP </w:t>
      </w:r>
      <w:r w:rsidR="005164E3">
        <w:t>2007-</w:t>
      </w:r>
      <w:r w:rsidR="00A70FDB">
        <w:t xml:space="preserve">2013 na celkové snížení </w:t>
      </w:r>
      <w:r w:rsidRPr="002D5A40">
        <w:t>znečištění vypouštěného v ČR do povrchových vod v parametru P</w:t>
      </w:r>
      <w:r w:rsidRPr="002D5A40">
        <w:rPr>
          <w:vertAlign w:val="subscript"/>
        </w:rPr>
        <w:t>celk.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vypouštěného znečištění v parametru P</w:t>
      </w:r>
      <w:r w:rsidRPr="002D5A40">
        <w:rPr>
          <w:vertAlign w:val="subscript"/>
        </w:rPr>
        <w:t>5celk.</w:t>
      </w:r>
      <w:r w:rsidRPr="002D5A40">
        <w:t xml:space="preserve"> z bodových zdrojů, dosaženého prostřednictvím intervencí OP</w:t>
      </w:r>
      <w:r w:rsidR="005164E3">
        <w:t xml:space="preserve"> ŽP 2007-</w:t>
      </w:r>
      <w:r w:rsidRPr="002D5A40">
        <w:t>2013 na celkovém snížení vypouštěn</w:t>
      </w:r>
      <w:r w:rsidR="00A70FDB">
        <w:t xml:space="preserve">ého znečištění v daném časovém </w:t>
      </w:r>
      <w:r w:rsidRPr="002D5A40">
        <w:t>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lastRenderedPageBreak/>
        <w:t>Kde X</w:t>
      </w:r>
      <w:r w:rsidRPr="002D5A40">
        <w:rPr>
          <w:vertAlign w:val="subscript"/>
        </w:rPr>
        <w:t>OPZP</w:t>
      </w:r>
      <w:r w:rsidRPr="002D5A40">
        <w:t xml:space="preserve"> je snížení vypouštěného znečištění vyvo</w:t>
      </w:r>
      <w:r w:rsidR="00A70FDB">
        <w:t>lané podporou OP</w:t>
      </w:r>
      <w:r w:rsidR="004F66F9">
        <w:t xml:space="preserve"> ŽP 2007-</w:t>
      </w:r>
      <w:r w:rsidR="00A70FDB">
        <w:t xml:space="preserve">2013 </w:t>
      </w:r>
      <w:r w:rsidRPr="002D5A40">
        <w:t>a X</w:t>
      </w:r>
      <w:r w:rsidRPr="002D5A40">
        <w:rPr>
          <w:vertAlign w:val="subscript"/>
        </w:rPr>
        <w:t>celk</w:t>
      </w:r>
      <w:r w:rsidRPr="002D5A40">
        <w:t xml:space="preserve"> je celkové snížení vypouštěného znečištění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Nejsou navrhovány.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5164E3">
        <w:t>ající se intervencí OP</w:t>
      </w:r>
      <w:r w:rsidR="004F66F9">
        <w:t xml:space="preserve"> </w:t>
      </w:r>
      <w:r w:rsidR="005164E3">
        <w:t>ŽP 2007-</w:t>
      </w:r>
      <w:r w:rsidRPr="002D5A40">
        <w:t>2013 jsou k dispozi</w:t>
      </w:r>
      <w:r w:rsidR="005164E3">
        <w:t>ci v Informačním systému SFŽP a </w:t>
      </w:r>
      <w:r>
        <w:t>částečně</w:t>
      </w:r>
      <w:r w:rsidRPr="002D5A40">
        <w:t xml:space="preserve"> ve výročních zprávách OP</w:t>
      </w:r>
      <w:r w:rsidR="005164E3">
        <w:t xml:space="preserve"> </w:t>
      </w:r>
      <w:r w:rsidRPr="002D5A40">
        <w:t>ŽP.</w:t>
      </w:r>
    </w:p>
    <w:p w:rsidR="007879D0" w:rsidRPr="002D5A40" w:rsidRDefault="007879D0" w:rsidP="007879D0">
      <w:r w:rsidRPr="002D5A40">
        <w:t xml:space="preserve">Data na národní úrovni jsou k dispozici v ročenkách Zpráva o stavu vodního hospodářství ČR (Modrá zpráva), vydávaných Ministerstvem zemědělství a v Statistických ročenkách – Životní 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Nejistota</w:t>
      </w:r>
    </w:p>
    <w:p w:rsidR="007879D0" w:rsidRPr="00FC7D3E" w:rsidRDefault="007879D0" w:rsidP="007879D0">
      <w:r w:rsidRPr="002D5A40">
        <w:t>Vypouš</w:t>
      </w:r>
      <w:r w:rsidR="00B17940">
        <w:t>těné znečištění v období 2007-</w:t>
      </w:r>
      <w:r w:rsidRPr="002D5A40">
        <w:t>2012 vykazuje spíše rostoucí trend (viz tabulka níže).</w:t>
      </w:r>
    </w:p>
    <w:p w:rsidR="007879D0" w:rsidRPr="00FC7D3E" w:rsidRDefault="00A70FDB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</w:t>
      </w:r>
      <w:r w:rsidR="004F66F9">
        <w:rPr>
          <w:b/>
          <w:i/>
          <w:color w:val="76923C" w:themeColor="accent3" w:themeShade="BF"/>
        </w:rPr>
        <w:t xml:space="preserve"> ČR 2007-</w:t>
      </w:r>
      <w:r w:rsidR="007879D0" w:rsidRPr="00FC7D3E">
        <w:rPr>
          <w:b/>
          <w:i/>
          <w:color w:val="76923C" w:themeColor="accent3" w:themeShade="BF"/>
        </w:rPr>
        <w:t>2013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4"/>
        <w:gridCol w:w="899"/>
        <w:gridCol w:w="736"/>
        <w:gridCol w:w="736"/>
        <w:gridCol w:w="736"/>
        <w:gridCol w:w="736"/>
        <w:gridCol w:w="736"/>
        <w:gridCol w:w="736"/>
        <w:gridCol w:w="737"/>
      </w:tblGrid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A70FDB" w:rsidP="007B3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Celkové vypouštěné </w:t>
            </w:r>
            <w:r w:rsidR="007879D0" w:rsidRPr="002D5A40">
              <w:rPr>
                <w:sz w:val="18"/>
                <w:szCs w:val="18"/>
              </w:rPr>
              <w:t xml:space="preserve">znečištění v ČR 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1 120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1 047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1 156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1 201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1 190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1 203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1257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zm+na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(-73)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color w:val="FF0000"/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109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color w:val="FF0000"/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45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(-11)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39121F">
              <w:rPr>
                <w:color w:val="FF0000"/>
                <w:sz w:val="18"/>
                <w:szCs w:val="18"/>
              </w:rPr>
              <w:t>54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color w:val="FF0000"/>
                <w:sz w:val="18"/>
                <w:szCs w:val="18"/>
              </w:rPr>
              <w:t>83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5160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39121F">
              <w:rPr>
                <w:b/>
                <w:color w:val="FF0000"/>
                <w:sz w:val="18"/>
                <w:szCs w:val="18"/>
              </w:rPr>
              <w:t>137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2D5A40" w:rsidRDefault="007879D0" w:rsidP="007879D0">
      <w:pPr>
        <w:rPr>
          <w:i/>
        </w:rPr>
      </w:pPr>
      <w:r w:rsidRPr="002D5A40">
        <w:rPr>
          <w:i/>
        </w:rPr>
        <w:t xml:space="preserve">Pomocné údaje: 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4"/>
        <w:gridCol w:w="899"/>
        <w:gridCol w:w="736"/>
        <w:gridCol w:w="736"/>
        <w:gridCol w:w="736"/>
        <w:gridCol w:w="736"/>
        <w:gridCol w:w="736"/>
        <w:gridCol w:w="736"/>
        <w:gridCol w:w="737"/>
      </w:tblGrid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A70FDB" w:rsidP="007B3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Celkové </w:t>
            </w:r>
            <w:r w:rsidR="007879D0" w:rsidRPr="002D5A40">
              <w:rPr>
                <w:sz w:val="18"/>
                <w:szCs w:val="18"/>
              </w:rPr>
              <w:t xml:space="preserve">produkované znečištění v ČR 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6 136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6 043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6 366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6 042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6 075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6 072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6 186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změna)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(- 93)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323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(- 324)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33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(- 3)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39121F">
              <w:rPr>
                <w:color w:val="FF0000"/>
                <w:sz w:val="18"/>
                <w:szCs w:val="18"/>
              </w:rPr>
              <w:t>114</w:t>
            </w: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Změna 2007 –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(- 64)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Změna 2007 –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5160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39121F">
              <w:rPr>
                <w:b/>
                <w:color w:val="FF0000"/>
                <w:sz w:val="18"/>
                <w:szCs w:val="18"/>
              </w:rPr>
              <w:t>50</w:t>
            </w:r>
          </w:p>
        </w:tc>
      </w:tr>
    </w:tbl>
    <w:p w:rsidR="007879D0" w:rsidRDefault="007879D0" w:rsidP="007879D0"/>
    <w:p w:rsidR="004261E3" w:rsidRDefault="004261E3" w:rsidP="007879D0"/>
    <w:p w:rsidR="004261E3" w:rsidRPr="002D5A40" w:rsidRDefault="004261E3" w:rsidP="007879D0"/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lastRenderedPageBreak/>
        <w:t>Data OP 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Snížení vypouštěného znečištění vlivem podpory OP</w:t>
            </w:r>
            <w:r w:rsidR="004F66F9">
              <w:rPr>
                <w:sz w:val="18"/>
                <w:szCs w:val="18"/>
              </w:rPr>
              <w:t xml:space="preserve"> </w:t>
            </w:r>
            <w:r w:rsidRPr="002D5A40">
              <w:rPr>
                <w:sz w:val="18"/>
                <w:szCs w:val="18"/>
              </w:rPr>
              <w:t>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55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43</w:t>
            </w:r>
          </w:p>
        </w:tc>
      </w:tr>
    </w:tbl>
    <w:p w:rsidR="007879D0" w:rsidRPr="00FC7D3E" w:rsidRDefault="007879D0" w:rsidP="007879D0">
      <w:pPr>
        <w:rPr>
          <w:b/>
          <w:i/>
          <w:color w:val="76923C" w:themeColor="accent3" w:themeShade="BF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rokům 2012 a 2013</w:t>
      </w:r>
    </w:p>
    <w:p w:rsidR="007879D0" w:rsidRPr="002D5A40" w:rsidRDefault="007879D0" w:rsidP="007879D0">
      <w:pPr>
        <w:rPr>
          <w:b/>
          <w:color w:val="FF0000"/>
        </w:rPr>
      </w:pPr>
      <w:r w:rsidRPr="002D5A40">
        <w:rPr>
          <w:b/>
          <w:color w:val="FF0000"/>
        </w:rPr>
        <w:t>Indikátor nelze</w:t>
      </w:r>
      <w:r>
        <w:rPr>
          <w:b/>
          <w:color w:val="FF0000"/>
        </w:rPr>
        <w:t xml:space="preserve"> přesně </w:t>
      </w:r>
      <w:r w:rsidRPr="002D5A40">
        <w:rPr>
          <w:b/>
          <w:color w:val="FF0000"/>
        </w:rPr>
        <w:t>vyčíslit vzhledem k rostoucímu trendu celkového vypouštěného znečištění.</w:t>
      </w:r>
    </w:p>
    <w:p w:rsidR="007879D0" w:rsidRPr="002D5A40" w:rsidRDefault="007879D0" w:rsidP="007879D0">
      <w:r w:rsidRPr="002D5A40">
        <w:t xml:space="preserve">Z porovnání </w:t>
      </w:r>
      <w:r>
        <w:t xml:space="preserve">ročního </w:t>
      </w:r>
      <w:r w:rsidRPr="002D5A40">
        <w:t>snížení znečištění, dosaženého vlivem intervencí OP</w:t>
      </w:r>
      <w:r w:rsidR="005164E3">
        <w:t xml:space="preserve"> </w:t>
      </w:r>
      <w:r w:rsidRPr="002D5A40">
        <w:t>ŽP k</w:t>
      </w:r>
      <w:r>
        <w:t xml:space="preserve"> říjnu</w:t>
      </w:r>
      <w:r w:rsidRPr="002D5A40">
        <w:t xml:space="preserve"> 201</w:t>
      </w:r>
      <w:r>
        <w:t>4</w:t>
      </w:r>
      <w:r w:rsidRPr="002D5A40">
        <w:t xml:space="preserve"> (</w:t>
      </w:r>
      <w:r>
        <w:t>143</w:t>
      </w:r>
      <w:r w:rsidRPr="002D5A40">
        <w:t xml:space="preserve"> t), s průměrným </w:t>
      </w:r>
      <w:r>
        <w:t xml:space="preserve">ročním </w:t>
      </w:r>
      <w:r w:rsidRPr="002D5A40">
        <w:t>množstvím celkového vypouštěného z</w:t>
      </w:r>
      <w:r w:rsidR="005164E3">
        <w:t>nečištění v ČR v období 2007</w:t>
      </w:r>
      <w:r w:rsidR="005164E3">
        <w:noBreakHyphen/>
      </w:r>
      <w:r w:rsidRPr="002D5A40">
        <w:t>201</w:t>
      </w:r>
      <w:r>
        <w:t>3</w:t>
      </w:r>
      <w:r w:rsidRPr="002D5A40">
        <w:t xml:space="preserve"> (1 1</w:t>
      </w:r>
      <w:r>
        <w:t>68</w:t>
      </w:r>
      <w:r w:rsidRPr="002D5A40">
        <w:t xml:space="preserve"> t) vyplývá, že podíl OP</w:t>
      </w:r>
      <w:r w:rsidR="005164E3">
        <w:t xml:space="preserve"> </w:t>
      </w:r>
      <w:r w:rsidRPr="002D5A40">
        <w:t>ŽP je na úrovni 1</w:t>
      </w:r>
      <w:r>
        <w:t>2</w:t>
      </w:r>
      <w:r w:rsidRPr="002D5A40">
        <w:t xml:space="preserve"> %.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r w:rsidRPr="002D5A40">
        <w:t>Indikátor poskytuje pouze přibližný odhad podílu intervencí OP</w:t>
      </w:r>
      <w:r w:rsidR="005164E3">
        <w:t xml:space="preserve"> </w:t>
      </w:r>
      <w:r w:rsidRPr="002D5A40">
        <w:t>ŽP.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  <w:color w:val="auto"/>
        </w:rPr>
      </w:pPr>
      <w:r w:rsidRPr="002D5A40">
        <w:t>Výroční zprávy OP</w:t>
      </w:r>
      <w:r w:rsidR="004F66F9">
        <w:t xml:space="preserve"> </w:t>
      </w:r>
      <w:r w:rsidRPr="002D5A40">
        <w:t xml:space="preserve">ŽP: </w:t>
      </w:r>
      <w:hyperlink r:id="rId28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Zpráva o stavu vodního hospodářství ČR (Modré zprávy): </w:t>
      </w:r>
      <w:hyperlink r:id="rId29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30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Statistické ročenky – Životní prostředí: </w:t>
      </w:r>
      <w:hyperlink r:id="rId31" w:history="1">
        <w:r w:rsidRPr="002D5A40">
          <w:rPr>
            <w:rStyle w:val="Hypertextovodkaz"/>
          </w:rPr>
          <w:t>http://www.mzp.cz/cz/statisticka_rocenka_zivotniho_prostredi_publikace</w:t>
        </w:r>
      </w:hyperlink>
      <w:r w:rsidRPr="002D5A40">
        <w:t xml:space="preserve"> </w:t>
      </w:r>
    </w:p>
    <w:p w:rsidR="00CE5A27" w:rsidRPr="002D5A40" w:rsidRDefault="00CE5A27" w:rsidP="00FC7D3E">
      <w:pPr>
        <w:pStyle w:val="Odstavecseseznamem"/>
        <w:spacing w:after="160" w:line="259" w:lineRule="auto"/>
        <w:jc w:val="left"/>
      </w:pPr>
    </w:p>
    <w:p w:rsidR="007879D0" w:rsidRPr="00FC7D3E" w:rsidRDefault="007879D0" w:rsidP="00FC7D3E">
      <w:pPr>
        <w:pStyle w:val="Nadpis3"/>
      </w:pPr>
      <w:bookmarkStart w:id="24" w:name="_Toc404179358"/>
      <w:bookmarkStart w:id="25" w:name="_Toc404179431"/>
      <w:r w:rsidRPr="002D5A40">
        <w:t>Odstraněné znečištění v parametru N</w:t>
      </w:r>
      <w:r w:rsidRPr="002D5A40">
        <w:rPr>
          <w:vertAlign w:val="subscript"/>
        </w:rPr>
        <w:t>anorg.</w:t>
      </w:r>
      <w:bookmarkEnd w:id="24"/>
      <w:bookmarkEnd w:id="25"/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pPr>
        <w:rPr>
          <w:sz w:val="24"/>
          <w:szCs w:val="24"/>
        </w:rPr>
      </w:pPr>
      <w:r w:rsidRPr="002D5A40">
        <w:t>Indikátor by měl stanovovat dopad intervencí OP</w:t>
      </w:r>
      <w:r w:rsidR="004F66F9">
        <w:t xml:space="preserve"> </w:t>
      </w:r>
      <w:r w:rsidRPr="002D5A40">
        <w:t>ŽP</w:t>
      </w:r>
      <w:r w:rsidR="004F66F9">
        <w:t xml:space="preserve"> 2007-</w:t>
      </w:r>
      <w:r w:rsidR="00FC7D3E">
        <w:t>2013 na celkové snížení</w:t>
      </w:r>
      <w:r w:rsidRPr="002D5A40">
        <w:t xml:space="preserve"> znečištění vypouštěného v ČR do povrchových vod v parametru </w:t>
      </w:r>
      <w:r w:rsidRPr="002D5A40">
        <w:rPr>
          <w:sz w:val="24"/>
          <w:szCs w:val="24"/>
        </w:rPr>
        <w:t>N</w:t>
      </w:r>
      <w:r w:rsidRPr="002D5A40">
        <w:rPr>
          <w:sz w:val="24"/>
          <w:szCs w:val="24"/>
          <w:vertAlign w:val="subscript"/>
        </w:rPr>
        <w:t>anorg.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 xml:space="preserve">Podíl snížení vypouštěného znečištění v parametru </w:t>
      </w:r>
      <w:r w:rsidRPr="002D5A40">
        <w:rPr>
          <w:sz w:val="24"/>
          <w:szCs w:val="24"/>
        </w:rPr>
        <w:t>N</w:t>
      </w:r>
      <w:r w:rsidR="005164E3">
        <w:rPr>
          <w:sz w:val="24"/>
          <w:szCs w:val="24"/>
          <w:vertAlign w:val="subscript"/>
        </w:rPr>
        <w:t>anorg.</w:t>
      </w:r>
      <w:r w:rsidRPr="002D5A40">
        <w:t xml:space="preserve"> z bodových zdrojů, dosaženého prostřednictvím intervencí OP</w:t>
      </w:r>
      <w:r w:rsidR="004F66F9">
        <w:t xml:space="preserve"> ŽP 2007-</w:t>
      </w:r>
      <w:r w:rsidRPr="002D5A40">
        <w:t>2013 na celkovém snížení vypouštěn</w:t>
      </w:r>
      <w:r w:rsidR="005164E3">
        <w:t xml:space="preserve">ého znečištění v daném časovém </w:t>
      </w:r>
      <w:r w:rsidRPr="002D5A40">
        <w:t>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vypouštěného znečištění vyv</w:t>
      </w:r>
      <w:r w:rsidR="00FC7D3E">
        <w:t>olané podporou OP</w:t>
      </w:r>
      <w:r w:rsidR="004F66F9">
        <w:t xml:space="preserve"> ŽP 2007-</w:t>
      </w:r>
      <w:r w:rsidR="00FC7D3E">
        <w:t>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celkové snížení vypouštěného znečištění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Nejsou navrhovány.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B17940">
        <w:t>ající se intervencí OP</w:t>
      </w:r>
      <w:r w:rsidR="004F66F9">
        <w:t xml:space="preserve"> </w:t>
      </w:r>
      <w:r w:rsidR="00B17940">
        <w:t>ŽP 2007-</w:t>
      </w:r>
      <w:r w:rsidRPr="002D5A40">
        <w:t>2013 jsou k dispozi</w:t>
      </w:r>
      <w:r w:rsidR="005164E3">
        <w:t>ci v Informačním systému SFŽP a </w:t>
      </w:r>
      <w:r>
        <w:t>částečně</w:t>
      </w:r>
      <w:r w:rsidRPr="002D5A40">
        <w:t xml:space="preserve"> ve výročních zprávách OP</w:t>
      </w:r>
      <w:r w:rsidR="004F66F9">
        <w:t xml:space="preserve"> </w:t>
      </w:r>
      <w:r w:rsidRPr="002D5A40">
        <w:t>ŽP.</w:t>
      </w:r>
    </w:p>
    <w:p w:rsidR="007879D0" w:rsidRPr="002D5A40" w:rsidRDefault="007879D0" w:rsidP="007879D0">
      <w:r w:rsidRPr="002D5A40">
        <w:t xml:space="preserve">Data na národní úrovni jsou k dispozici v ročenkách Zpráva o stavu vodního hospodářství ČR (Modrá zpráva), vydávaných Ministerstvem zemědělství a ve Statistických ročenkách – Životní prostředí, vydávaných Ministerstvem životního prostředí ve spolupráci s Českým statistickým úřadem.  </w:t>
      </w:r>
    </w:p>
    <w:p w:rsidR="007879D0" w:rsidRPr="005164E3" w:rsidRDefault="007879D0" w:rsidP="007879D0">
      <w:pPr>
        <w:rPr>
          <w:b/>
          <w:i/>
          <w:color w:val="76923C" w:themeColor="accent3" w:themeShade="BF"/>
        </w:rPr>
      </w:pPr>
      <w:r w:rsidRPr="005164E3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 xml:space="preserve">Data na národní úrovni mohou být ovlivněny mimořádnými událostmi (např. havárie významné čistírny odpadních vod), což může vést až k meziročnímu zvýšení množství vypouštěného znečištění (k čemuž došlo v roce 2008). </w:t>
      </w:r>
    </w:p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2013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8928" w:type="dxa"/>
        <w:tblLook w:val="04A0" w:firstRow="1" w:lastRow="0" w:firstColumn="1" w:lastColumn="0" w:noHBand="0" w:noVBand="1"/>
      </w:tblPr>
      <w:tblGrid>
        <w:gridCol w:w="2762"/>
        <w:gridCol w:w="899"/>
        <w:gridCol w:w="736"/>
        <w:gridCol w:w="736"/>
        <w:gridCol w:w="793"/>
        <w:gridCol w:w="736"/>
        <w:gridCol w:w="793"/>
        <w:gridCol w:w="736"/>
        <w:gridCol w:w="737"/>
      </w:tblGrid>
      <w:tr w:rsidR="007879D0" w:rsidRPr="002D5A40" w:rsidTr="005164E3">
        <w:tc>
          <w:tcPr>
            <w:tcW w:w="277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2778" w:type="dxa"/>
            <w:shd w:val="clear" w:color="auto" w:fill="C2D69B" w:themeFill="accent3" w:themeFillTint="99"/>
          </w:tcPr>
          <w:p w:rsidR="007879D0" w:rsidRPr="002D5A40" w:rsidRDefault="00C1630F" w:rsidP="007B3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Celkové vypouštěné</w:t>
            </w:r>
            <w:r w:rsidR="007879D0" w:rsidRPr="002D5A40">
              <w:rPr>
                <w:sz w:val="18"/>
                <w:szCs w:val="18"/>
              </w:rPr>
              <w:t xml:space="preserve"> znečištění v ČR 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14 057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14 193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12 837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13 816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11 770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11 150 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11 776</w:t>
            </w:r>
          </w:p>
        </w:tc>
      </w:tr>
      <w:tr w:rsidR="007879D0" w:rsidRPr="002D5A40" w:rsidTr="005164E3">
        <w:tc>
          <w:tcPr>
            <w:tcW w:w="277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136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(-1 356)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(-979)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(-2 046)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(-620)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6D4551">
              <w:rPr>
                <w:color w:val="FF0000"/>
                <w:sz w:val="18"/>
                <w:szCs w:val="18"/>
              </w:rPr>
              <w:t>626</w:t>
            </w:r>
          </w:p>
        </w:tc>
      </w:tr>
      <w:tr w:rsidR="007879D0" w:rsidRPr="002D5A40" w:rsidTr="005164E3">
        <w:tc>
          <w:tcPr>
            <w:tcW w:w="277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4536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(- 2 907)</w:t>
            </w:r>
          </w:p>
        </w:tc>
        <w:tc>
          <w:tcPr>
            <w:tcW w:w="73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277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</w:t>
            </w:r>
          </w:p>
        </w:tc>
        <w:tc>
          <w:tcPr>
            <w:tcW w:w="5274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(- 2 281)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OP</w:t>
      </w:r>
      <w:r w:rsidR="004F66F9">
        <w:rPr>
          <w:b/>
          <w:i/>
          <w:color w:val="76923C" w:themeColor="accent3" w:themeShade="BF"/>
        </w:rPr>
        <w:t xml:space="preserve"> </w:t>
      </w:r>
      <w:r w:rsidRPr="00FC7D3E">
        <w:rPr>
          <w:b/>
          <w:i/>
          <w:color w:val="76923C" w:themeColor="accent3" w:themeShade="BF"/>
        </w:rPr>
        <w:t>ŽP</w:t>
      </w:r>
    </w:p>
    <w:p w:rsidR="007879D0" w:rsidRPr="002D5A40" w:rsidRDefault="007879D0" w:rsidP="007879D0">
      <w:r w:rsidRPr="002D5A40">
        <w:t>Data o vypouštění znečištění v parametru N</w:t>
      </w:r>
      <w:r w:rsidRPr="002D5A40">
        <w:rPr>
          <w:vertAlign w:val="subscript"/>
        </w:rPr>
        <w:t>anor</w:t>
      </w:r>
      <w:r>
        <w:rPr>
          <w:vertAlign w:val="subscript"/>
        </w:rPr>
        <w:t>g</w:t>
      </w:r>
      <w:r w:rsidRPr="002D5A40">
        <w:rPr>
          <w:vertAlign w:val="subscript"/>
        </w:rPr>
        <w:t>.</w:t>
      </w:r>
      <w:r w:rsidRPr="002D5A40">
        <w:t xml:space="preserve"> nejsou v rámci OP</w:t>
      </w:r>
      <w:r w:rsidR="004F66F9">
        <w:t xml:space="preserve"> </w:t>
      </w:r>
      <w:r w:rsidRPr="002D5A40">
        <w:t>ŽP sledována (jsou sledovány parametry N</w:t>
      </w:r>
      <w:r w:rsidRPr="002D5A40">
        <w:rPr>
          <w:vertAlign w:val="subscript"/>
        </w:rPr>
        <w:t>Celk.</w:t>
      </w:r>
      <w:r w:rsidRPr="002D5A40">
        <w:t xml:space="preserve"> a N</w:t>
      </w:r>
      <w:r w:rsidRPr="002D5A40">
        <w:rPr>
          <w:vertAlign w:val="subscript"/>
        </w:rPr>
        <w:t>NH4+</w:t>
      </w:r>
      <w:r w:rsidRPr="002D5A40">
        <w:t>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Závěr</w:t>
      </w:r>
    </w:p>
    <w:p w:rsidR="007879D0" w:rsidRPr="002D5A40" w:rsidRDefault="007879D0" w:rsidP="007879D0">
      <w:pPr>
        <w:rPr>
          <w:b/>
          <w:color w:val="FF0000"/>
        </w:rPr>
      </w:pPr>
      <w:r w:rsidRPr="002D5A40">
        <w:rPr>
          <w:b/>
          <w:color w:val="FF0000"/>
        </w:rPr>
        <w:t xml:space="preserve">Indikátor nemůže být použit z důvodu nekompatibility národních dat s daty sledovanými v rámci OPŽP.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  <w:color w:val="auto"/>
        </w:rPr>
      </w:pPr>
      <w:r w:rsidRPr="002D5A40">
        <w:t>Výroční zprávy OP</w:t>
      </w:r>
      <w:r w:rsidR="004F66F9">
        <w:t xml:space="preserve"> </w:t>
      </w:r>
      <w:r w:rsidRPr="002D5A40">
        <w:t xml:space="preserve">ŽP: </w:t>
      </w:r>
      <w:hyperlink r:id="rId32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Zpráva o stavu vodního hospodářství ČR (Modré zprávy): </w:t>
      </w:r>
      <w:hyperlink r:id="rId33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34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Statistické ročenky – Životní prostředí: </w:t>
      </w:r>
      <w:hyperlink r:id="rId35" w:history="1">
        <w:r w:rsidRPr="002D5A40">
          <w:rPr>
            <w:rStyle w:val="Hypertextovodkaz"/>
          </w:rPr>
          <w:t>http://www.mzp.cz/cz/statisticka_rocenka_zivotniho_prostredi_publikace</w:t>
        </w:r>
      </w:hyperlink>
      <w:r w:rsidRPr="002D5A40">
        <w:t xml:space="preserve"> </w:t>
      </w:r>
    </w:p>
    <w:p w:rsidR="00C1630F" w:rsidRPr="002D5A40" w:rsidRDefault="00C1630F" w:rsidP="00FC7D3E">
      <w:pPr>
        <w:pStyle w:val="Odstavecseseznamem"/>
        <w:spacing w:after="160" w:line="259" w:lineRule="auto"/>
        <w:jc w:val="left"/>
      </w:pPr>
    </w:p>
    <w:p w:rsidR="007879D0" w:rsidRPr="00FC7D3E" w:rsidRDefault="007879D0" w:rsidP="00FC7D3E">
      <w:pPr>
        <w:pStyle w:val="Nadpis3"/>
      </w:pPr>
      <w:bookmarkStart w:id="26" w:name="_Toc404179359"/>
      <w:bookmarkStart w:id="27" w:name="_Toc404179432"/>
      <w:r w:rsidRPr="002D5A40">
        <w:t xml:space="preserve">Délka </w:t>
      </w:r>
      <w:r w:rsidRPr="00FC7D3E">
        <w:t>nových</w:t>
      </w:r>
      <w:r w:rsidRPr="002D5A40">
        <w:t xml:space="preserve"> vodovodních sítí</w:t>
      </w:r>
      <w:bookmarkEnd w:id="26"/>
      <w:bookmarkEnd w:id="27"/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 xml:space="preserve">Indikátor stanovuje dopad intervencí </w:t>
      </w:r>
      <w:r w:rsidR="00B17940">
        <w:t>OP</w:t>
      </w:r>
      <w:r w:rsidR="004F66F9">
        <w:t xml:space="preserve"> </w:t>
      </w:r>
      <w:r w:rsidR="00B17940">
        <w:t>ŽP 2007-</w:t>
      </w:r>
      <w:r w:rsidRPr="002D5A40">
        <w:t>2013 na výs</w:t>
      </w:r>
      <w:r w:rsidR="005164E3">
        <w:t>tavbu nových vodovodních sítí v </w:t>
      </w:r>
      <w:r w:rsidRPr="002D5A40">
        <w:t>ČR</w:t>
      </w:r>
      <w:r w:rsidR="005164E3">
        <w:t>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délky vodovodních sítí nově vybudo</w:t>
      </w:r>
      <w:r w:rsidR="004F66F9">
        <w:t>vaných za podpory z OP ŽP 2007-</w:t>
      </w:r>
      <w:r w:rsidRPr="002D5A40">
        <w:t>2013 na celkové délce nově vybudovaných vodovodních sítí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celková délka vodovodních sítí (v km) nově vybudovaných v daném časovém obd</w:t>
      </w:r>
      <w:r w:rsidR="00B17940">
        <w:t>obí za podpory OP</w:t>
      </w:r>
      <w:r w:rsidR="004F66F9">
        <w:t xml:space="preserve"> </w:t>
      </w:r>
      <w:r w:rsidR="00B17940">
        <w:t>ŽP 2007-</w:t>
      </w:r>
      <w:r w:rsidR="00C1630F">
        <w:t>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celková</w:t>
      </w:r>
      <w:r w:rsidR="00C1630F">
        <w:t xml:space="preserve"> délka vodovodních sítí (v km) </w:t>
      </w:r>
      <w:r w:rsidRPr="002D5A40">
        <w:t>nově vybudovaných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Default="007879D0" w:rsidP="007879D0">
      <w:r w:rsidRPr="002D5A40">
        <w:t>Podíl celkové délky vodovodních sítí vybudovaných za podpory z</w:t>
      </w:r>
      <w:r w:rsidR="004F66F9">
        <w:t> </w:t>
      </w:r>
      <w:r w:rsidRPr="002D5A40">
        <w:t>OP</w:t>
      </w:r>
      <w:r w:rsidR="004F66F9">
        <w:t xml:space="preserve"> </w:t>
      </w:r>
      <w:r w:rsidR="00B17940">
        <w:t>ŽP 2007-</w:t>
      </w:r>
      <w:r w:rsidR="00C1630F">
        <w:t>2013 na celkové délce</w:t>
      </w:r>
      <w:r w:rsidRPr="002D5A40">
        <w:t xml:space="preserve"> vodovodních sítí v ČR v daném časovém období.</w:t>
      </w:r>
    </w:p>
    <w:p w:rsidR="004261E3" w:rsidRDefault="004261E3" w:rsidP="007879D0"/>
    <w:p w:rsidR="004261E3" w:rsidRPr="002D5A40" w:rsidRDefault="004261E3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Zdroj dat</w:t>
      </w:r>
    </w:p>
    <w:p w:rsidR="007879D0" w:rsidRPr="002D5A40" w:rsidRDefault="007879D0" w:rsidP="007879D0">
      <w:r w:rsidRPr="002D5A40">
        <w:t>Data týkající se intervencí OP</w:t>
      </w:r>
      <w:r w:rsidR="005164E3">
        <w:t xml:space="preserve"> ŽP 2007-</w:t>
      </w:r>
      <w:r w:rsidRPr="002D5A40">
        <w:t>2013 jsou k dispozi</w:t>
      </w:r>
      <w:r w:rsidR="005164E3">
        <w:t>ci v Informačním systému SFŽP a </w:t>
      </w:r>
      <w:r>
        <w:t>částečně</w:t>
      </w:r>
      <w:r w:rsidRPr="002D5A40">
        <w:t xml:space="preserve"> ve výročních zprávách OP</w:t>
      </w:r>
      <w:r w:rsidR="005164E3">
        <w:t xml:space="preserve"> </w:t>
      </w:r>
      <w:r w:rsidRPr="002D5A40">
        <w:t>ŽP.</w:t>
      </w:r>
    </w:p>
    <w:p w:rsidR="007879D0" w:rsidRPr="002D5A40" w:rsidRDefault="007879D0" w:rsidP="007879D0">
      <w:r w:rsidRPr="002D5A40">
        <w:t>Data na národní úrovni jsou k dispozici např. v ročenkách Zpráva o stavu vodního hospodářství ČR (Modrá zpráva), vydávaných Ministerstvem zemědělství a v ročenkách Vodovody a</w:t>
      </w:r>
      <w:r w:rsidR="005164E3">
        <w:t> </w:t>
      </w:r>
      <w:r w:rsidRPr="002D5A40">
        <w:t xml:space="preserve">kanalizace ČR, vydávaných Ministerstvem zemědělství a také ve Statistických ročenkách – Životní 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>Vstupní data jsou velmi přesně měřitelná a nejsou významně ovlivněna vnějšími faktory. Stupeň nejistoty je proto prakticky zanedbatelný.</w:t>
      </w:r>
    </w:p>
    <w:p w:rsidR="007879D0" w:rsidRPr="00FC7D3E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2013</w:t>
      </w:r>
    </w:p>
    <w:p w:rsidR="007879D0" w:rsidRPr="002D5A40" w:rsidRDefault="007879D0" w:rsidP="007879D0">
      <w:r w:rsidRPr="002D5A40">
        <w:t>Žádoucí vývoj dat na národní úrovni je meziroční růst.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Celková délka vodovodních sítí v 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km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70 539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72 167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72 866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73 488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74 141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74 915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75 481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X</w:t>
            </w:r>
            <w:r w:rsidRPr="002D5A40">
              <w:rPr>
                <w:sz w:val="18"/>
                <w:szCs w:val="18"/>
                <w:vertAlign w:val="subscript"/>
              </w:rPr>
              <w:t>celk</w:t>
            </w:r>
            <w:r w:rsidRPr="002D5A40">
              <w:rPr>
                <w:sz w:val="18"/>
                <w:szCs w:val="18"/>
              </w:rPr>
              <w:t xml:space="preserve"> (meziroční změna)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km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1 628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699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622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653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774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km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4 376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km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4 942</w:t>
            </w:r>
          </w:p>
        </w:tc>
      </w:tr>
    </w:tbl>
    <w:p w:rsidR="007879D0" w:rsidRPr="002D5A40" w:rsidRDefault="007879D0" w:rsidP="007879D0"/>
    <w:p w:rsidR="007879D0" w:rsidRPr="00FC7D3E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</w:t>
      </w:r>
      <w:r w:rsidR="004F66F9">
        <w:rPr>
          <w:b/>
          <w:i/>
          <w:color w:val="76923C" w:themeColor="accent3" w:themeShade="BF"/>
        </w:rPr>
        <w:t xml:space="preserve"> </w:t>
      </w:r>
      <w:r>
        <w:rPr>
          <w:b/>
          <w:i/>
          <w:color w:val="76923C" w:themeColor="accent3" w:themeShade="BF"/>
        </w:rPr>
        <w:t>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Celková délka vodovodních sítí vybudovaných za podpory OP</w:t>
            </w:r>
            <w:r w:rsidR="004F66F9">
              <w:rPr>
                <w:sz w:val="18"/>
                <w:szCs w:val="18"/>
              </w:rPr>
              <w:t xml:space="preserve"> </w:t>
            </w:r>
            <w:r w:rsidRPr="002D5A40">
              <w:rPr>
                <w:sz w:val="18"/>
                <w:szCs w:val="18"/>
              </w:rPr>
              <w:t>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km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109,7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89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Default="005164E3" w:rsidP="007879D0">
      <w:pPr>
        <w:rPr>
          <w:b/>
        </w:rPr>
      </w:pPr>
      <w:r>
        <w:rPr>
          <w:b/>
        </w:rPr>
        <w:t>IND = 100 (109,8 / 4 376) =</w:t>
      </w:r>
      <w:r w:rsidR="007879D0" w:rsidRPr="002D5A40">
        <w:rPr>
          <w:b/>
        </w:rPr>
        <w:t xml:space="preserve"> 2,5 %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Default="007879D0" w:rsidP="007879D0">
      <w:pPr>
        <w:rPr>
          <w:b/>
        </w:rPr>
      </w:pPr>
      <w:r w:rsidRPr="002D5A40">
        <w:rPr>
          <w:b/>
        </w:rPr>
        <w:t>IND = 100 (</w:t>
      </w:r>
      <w:r>
        <w:rPr>
          <w:b/>
        </w:rPr>
        <w:t>289</w:t>
      </w:r>
      <w:r w:rsidRPr="002D5A40">
        <w:rPr>
          <w:b/>
        </w:rPr>
        <w:t>,</w:t>
      </w:r>
      <w:r>
        <w:rPr>
          <w:b/>
        </w:rPr>
        <w:t>4</w:t>
      </w:r>
      <w:r w:rsidRPr="002D5A40">
        <w:rPr>
          <w:b/>
        </w:rPr>
        <w:t xml:space="preserve"> / 4 </w:t>
      </w:r>
      <w:r>
        <w:rPr>
          <w:b/>
        </w:rPr>
        <w:t>942</w:t>
      </w:r>
      <w:r w:rsidR="005164E3">
        <w:rPr>
          <w:b/>
        </w:rPr>
        <w:t xml:space="preserve">) = </w:t>
      </w:r>
      <w:r>
        <w:rPr>
          <w:b/>
        </w:rPr>
        <w:t>5</w:t>
      </w:r>
      <w:r w:rsidRPr="002D5A40">
        <w:rPr>
          <w:b/>
        </w:rPr>
        <w:t>,</w:t>
      </w:r>
      <w:r>
        <w:rPr>
          <w:b/>
        </w:rPr>
        <w:t>9</w:t>
      </w:r>
      <w:r w:rsidRPr="002D5A40">
        <w:rPr>
          <w:b/>
        </w:rPr>
        <w:t xml:space="preserve"> %</w:t>
      </w:r>
    </w:p>
    <w:p w:rsidR="004261E3" w:rsidRPr="002D5A40" w:rsidRDefault="004261E3" w:rsidP="007879D0">
      <w:pPr>
        <w:rPr>
          <w:b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Závěr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 xml:space="preserve">Podíl délky vodovodních sítí nově vybudovaných za podpory </w:t>
      </w:r>
      <w:r w:rsidR="00B17940">
        <w:rPr>
          <w:b/>
        </w:rPr>
        <w:t>z OP ŽP 2007-</w:t>
      </w:r>
      <w:r w:rsidR="005164E3">
        <w:rPr>
          <w:b/>
        </w:rPr>
        <w:t>2013 na </w:t>
      </w:r>
      <w:r w:rsidRPr="002D5A40">
        <w:rPr>
          <w:b/>
        </w:rPr>
        <w:t>celkové délce nově vybudovaných vodovo</w:t>
      </w:r>
      <w:r w:rsidR="00B17940">
        <w:rPr>
          <w:b/>
        </w:rPr>
        <w:t>dních sítí v ČR v období 2007-</w:t>
      </w:r>
      <w:r w:rsidRPr="002D5A40">
        <w:rPr>
          <w:b/>
        </w:rPr>
        <w:t>201</w:t>
      </w:r>
      <w:r>
        <w:rPr>
          <w:b/>
        </w:rPr>
        <w:t>3</w:t>
      </w:r>
      <w:r w:rsidRPr="002D5A40">
        <w:rPr>
          <w:b/>
        </w:rPr>
        <w:t xml:space="preserve"> je nezanedbatelný (5</w:t>
      </w:r>
      <w:r>
        <w:rPr>
          <w:b/>
        </w:rPr>
        <w:t>,9</w:t>
      </w:r>
      <w:r w:rsidRPr="002D5A40">
        <w:rPr>
          <w:b/>
        </w:rPr>
        <w:t xml:space="preserve"> %).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  <w:color w:val="auto"/>
        </w:rPr>
      </w:pPr>
      <w:r w:rsidRPr="002D5A40">
        <w:t>Výroční zprávy OP</w:t>
      </w:r>
      <w:r w:rsidR="005164E3">
        <w:t xml:space="preserve"> </w:t>
      </w:r>
      <w:r w:rsidRPr="002D5A40">
        <w:t xml:space="preserve">ŽP: </w:t>
      </w:r>
      <w:hyperlink r:id="rId36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Zpráva o stavu vodního hospodářství ČR (Modré zprávy): </w:t>
      </w:r>
      <w:hyperlink r:id="rId37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38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Statistické ročenky – Životní prostředí: </w:t>
      </w:r>
      <w:hyperlink r:id="rId39" w:history="1">
        <w:r w:rsidRPr="002D5A40">
          <w:rPr>
            <w:rStyle w:val="Hypertextovodkaz"/>
          </w:rPr>
          <w:t>http://www.mzp.cz/cz/statisticka_rocenka_zivotniho_prostredi_publikace</w:t>
        </w:r>
      </w:hyperlink>
      <w:r w:rsidRPr="002D5A40">
        <w:t xml:space="preserve"> </w:t>
      </w:r>
    </w:p>
    <w:p w:rsidR="00C1630F" w:rsidRPr="002D5A40" w:rsidRDefault="00C1630F" w:rsidP="00FC7D3E">
      <w:pPr>
        <w:pStyle w:val="Odstavecseseznamem"/>
        <w:spacing w:after="160" w:line="259" w:lineRule="auto"/>
        <w:jc w:val="left"/>
      </w:pPr>
    </w:p>
    <w:p w:rsidR="007879D0" w:rsidRPr="00FC7D3E" w:rsidRDefault="007879D0" w:rsidP="00FC7D3E">
      <w:pPr>
        <w:pStyle w:val="Nadpis3"/>
      </w:pPr>
      <w:bookmarkStart w:id="28" w:name="_Toc404179360"/>
      <w:bookmarkStart w:id="29" w:name="_Toc404179433"/>
      <w:r w:rsidRPr="002D5A40">
        <w:t>Počet obyvatel nově připojených na vodovod</w:t>
      </w:r>
      <w:bookmarkEnd w:id="28"/>
      <w:bookmarkEnd w:id="29"/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B17940">
        <w:t>je dopad intervencí OP</w:t>
      </w:r>
      <w:r w:rsidR="004F66F9">
        <w:t xml:space="preserve"> </w:t>
      </w:r>
      <w:r w:rsidR="00B17940">
        <w:t>ŽP 2007-</w:t>
      </w:r>
      <w:r w:rsidRPr="002D5A40">
        <w:t xml:space="preserve">2013 na celkový počet obyvatel ČR nově připojených na vodovod.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obyvatel nově připojených k vodovo</w:t>
      </w:r>
      <w:r w:rsidR="00B17940">
        <w:t>du za podpory z</w:t>
      </w:r>
      <w:r w:rsidR="004F66F9">
        <w:t> </w:t>
      </w:r>
      <w:r w:rsidR="00B17940">
        <w:t>OP</w:t>
      </w:r>
      <w:r w:rsidR="004F66F9">
        <w:t xml:space="preserve"> </w:t>
      </w:r>
      <w:r w:rsidR="00B17940">
        <w:t>ŽP 2007-</w:t>
      </w:r>
      <w:r w:rsidRPr="002D5A40">
        <w:t xml:space="preserve">2013 na celkovém počtu obyvatel nově připojených k vodovodu v ČR v daném časovém období.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celkový počet obyvatel nově připojených v daném časovém obd</w:t>
      </w:r>
      <w:r w:rsidR="00C1630F">
        <w:t>obí za podpory OP</w:t>
      </w:r>
      <w:r w:rsidR="004F66F9">
        <w:t> ŽP 2007-</w:t>
      </w:r>
      <w:r w:rsidR="00C1630F">
        <w:t>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celkový počet nově připojených obyvatel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Default="007879D0" w:rsidP="007879D0">
      <w:r w:rsidRPr="002D5A40">
        <w:t>Celkový podíl obyvatel připojených k vo</w:t>
      </w:r>
      <w:r w:rsidR="00B17940">
        <w:t>dovodu za podpory z</w:t>
      </w:r>
      <w:r w:rsidR="004F66F9">
        <w:t> </w:t>
      </w:r>
      <w:r w:rsidR="00B17940">
        <w:t>OP</w:t>
      </w:r>
      <w:r w:rsidR="004F66F9">
        <w:t xml:space="preserve"> </w:t>
      </w:r>
      <w:r w:rsidR="00B17940">
        <w:t>ŽP 2007-</w:t>
      </w:r>
      <w:r w:rsidRPr="002D5A40">
        <w:t>2013 na celkovém počtu obyvatel ČR připojených k vodovodu.</w:t>
      </w:r>
    </w:p>
    <w:p w:rsidR="004261E3" w:rsidRDefault="004261E3" w:rsidP="007879D0"/>
    <w:p w:rsidR="004261E3" w:rsidRPr="002D5A40" w:rsidRDefault="004261E3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B17940">
        <w:t>ající se intervencí OP</w:t>
      </w:r>
      <w:r w:rsidR="004F66F9">
        <w:t xml:space="preserve"> </w:t>
      </w:r>
      <w:r w:rsidR="00B17940">
        <w:t>ŽP 2007-</w:t>
      </w:r>
      <w:r w:rsidRPr="002D5A40">
        <w:t>2013 jsou k dispozi</w:t>
      </w:r>
      <w:r w:rsidR="00B17940">
        <w:t>ci v Informačním systému SFŽP a </w:t>
      </w:r>
      <w:r>
        <w:t>částečně</w:t>
      </w:r>
      <w:r w:rsidRPr="002D5A40">
        <w:t xml:space="preserve"> ve výročních zprávách OP</w:t>
      </w:r>
      <w:r w:rsidR="004F66F9">
        <w:t xml:space="preserve"> </w:t>
      </w:r>
      <w:r w:rsidRPr="002D5A40">
        <w:t>ŽP.</w:t>
      </w:r>
    </w:p>
    <w:p w:rsidR="007879D0" w:rsidRPr="002D5A40" w:rsidRDefault="007879D0" w:rsidP="007879D0">
      <w:r w:rsidRPr="002D5A40">
        <w:t>Data na národní úrovni jsou k dispozici např. v ročenkách v ročenkách Zpráva o stavu vodního hospodářství ČR (Modrá zpráva), vydávaných Ministe</w:t>
      </w:r>
      <w:r w:rsidR="00B17940">
        <w:t>rstvem zemědělství a Vodovody a </w:t>
      </w:r>
      <w:r w:rsidRPr="002D5A40">
        <w:t xml:space="preserve">kanalizace ČR, vydávaných Ministerstvem zemědělství a také ve Statistických ročenkách – Životní 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>Vstupní data jsou velmi přesně měřitelná a nejsou významně ovlivněna vnějšími faktory. Stupeň nejistoty je proto prakticky zanedbatelný.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</w:t>
      </w:r>
      <w:r w:rsidR="00B17940">
        <w:rPr>
          <w:b/>
          <w:i/>
          <w:color w:val="76923C" w:themeColor="accent3" w:themeShade="BF"/>
        </w:rPr>
        <w:t>a ČR 2007-</w:t>
      </w:r>
      <w:r w:rsidRPr="00FC7D3E">
        <w:rPr>
          <w:b/>
          <w:i/>
          <w:color w:val="76923C" w:themeColor="accent3" w:themeShade="BF"/>
        </w:rPr>
        <w:t>2013</w:t>
      </w:r>
    </w:p>
    <w:p w:rsidR="007879D0" w:rsidRPr="002D5A40" w:rsidRDefault="007879D0" w:rsidP="007879D0">
      <w:r w:rsidRPr="002D5A40">
        <w:t>Žádoucí vývoj dat na národní úrovni je meziroční růst.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Celkový počet připojených obyvatel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9 525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9 664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9 733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9 787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9 805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9 823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9854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139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329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</w:t>
      </w:r>
      <w:r w:rsidR="004F66F9">
        <w:rPr>
          <w:b/>
          <w:i/>
          <w:color w:val="76923C" w:themeColor="accent3" w:themeShade="BF"/>
        </w:rPr>
        <w:t xml:space="preserve"> </w:t>
      </w:r>
      <w:r>
        <w:rPr>
          <w:b/>
          <w:i/>
          <w:color w:val="76923C" w:themeColor="accent3" w:themeShade="BF"/>
        </w:rPr>
        <w:t>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Celkový počet obyvatel připojených za podpory OP</w:t>
            </w:r>
            <w:r w:rsidR="004F66F9">
              <w:rPr>
                <w:sz w:val="18"/>
                <w:szCs w:val="18"/>
              </w:rPr>
              <w:t xml:space="preserve"> </w:t>
            </w:r>
            <w:r w:rsidRPr="002D5A40">
              <w:rPr>
                <w:sz w:val="18"/>
                <w:szCs w:val="18"/>
              </w:rPr>
              <w:t>ŽP(kumulativní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3,51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9,88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Default="00C1630F" w:rsidP="007879D0">
      <w:pPr>
        <w:rPr>
          <w:b/>
        </w:rPr>
      </w:pPr>
      <w:r>
        <w:rPr>
          <w:b/>
        </w:rPr>
        <w:t xml:space="preserve">IND = 100 ( 3,51/ 298 ) = </w:t>
      </w:r>
      <w:r w:rsidR="007879D0" w:rsidRPr="002D5A40">
        <w:rPr>
          <w:b/>
        </w:rPr>
        <w:t>1,2 %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Default="007879D0" w:rsidP="007879D0">
      <w:pPr>
        <w:rPr>
          <w:b/>
        </w:rPr>
      </w:pPr>
      <w:r w:rsidRPr="002D5A40">
        <w:rPr>
          <w:b/>
        </w:rPr>
        <w:t xml:space="preserve">IND = 100 ( </w:t>
      </w:r>
      <w:r>
        <w:rPr>
          <w:b/>
        </w:rPr>
        <w:t>9,88</w:t>
      </w:r>
      <w:r w:rsidRPr="002D5A40">
        <w:rPr>
          <w:b/>
        </w:rPr>
        <w:t xml:space="preserve">/ </w:t>
      </w:r>
      <w:r>
        <w:rPr>
          <w:b/>
        </w:rPr>
        <w:t>329</w:t>
      </w:r>
      <w:r w:rsidR="00C1630F">
        <w:rPr>
          <w:b/>
        </w:rPr>
        <w:t xml:space="preserve"> ) = </w:t>
      </w:r>
      <w:r>
        <w:rPr>
          <w:b/>
        </w:rPr>
        <w:t>3,0</w:t>
      </w:r>
      <w:r w:rsidRPr="002D5A40">
        <w:rPr>
          <w:b/>
        </w:rPr>
        <w:t xml:space="preserve"> %</w:t>
      </w:r>
    </w:p>
    <w:p w:rsidR="004261E3" w:rsidRDefault="004261E3" w:rsidP="007879D0">
      <w:pPr>
        <w:rPr>
          <w:b/>
        </w:rPr>
      </w:pPr>
    </w:p>
    <w:p w:rsidR="004261E3" w:rsidRPr="002D5A40" w:rsidRDefault="004261E3" w:rsidP="007879D0">
      <w:pPr>
        <w:rPr>
          <w:b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FC7D3E" w:rsidRDefault="007879D0" w:rsidP="007879D0">
      <w:pPr>
        <w:rPr>
          <w:b/>
        </w:rPr>
      </w:pPr>
      <w:r w:rsidRPr="002D5A40">
        <w:rPr>
          <w:b/>
        </w:rPr>
        <w:t>Podíl délky vodovodních sítí nově vybudo</w:t>
      </w:r>
      <w:r w:rsidR="004F66F9">
        <w:rPr>
          <w:b/>
        </w:rPr>
        <w:t>vaných za podpory z OP ŽP 2007-</w:t>
      </w:r>
      <w:r w:rsidRPr="002D5A40">
        <w:rPr>
          <w:b/>
        </w:rPr>
        <w:t>2013 na celkové délce nově vybudovaných vodovo</w:t>
      </w:r>
      <w:r w:rsidR="004F66F9">
        <w:rPr>
          <w:b/>
        </w:rPr>
        <w:t>dních sítí v ČR v období 2007-</w:t>
      </w:r>
      <w:r w:rsidRPr="002D5A40">
        <w:rPr>
          <w:b/>
        </w:rPr>
        <w:t>201</w:t>
      </w:r>
      <w:r>
        <w:rPr>
          <w:b/>
        </w:rPr>
        <w:t>3</w:t>
      </w:r>
      <w:r w:rsidRPr="002D5A40">
        <w:rPr>
          <w:b/>
        </w:rPr>
        <w:t xml:space="preserve"> je </w:t>
      </w:r>
      <w:r>
        <w:rPr>
          <w:b/>
        </w:rPr>
        <w:t>nezanedbatelný</w:t>
      </w:r>
      <w:r w:rsidRPr="002D5A40">
        <w:rPr>
          <w:b/>
        </w:rPr>
        <w:t xml:space="preserve"> (</w:t>
      </w:r>
      <w:r>
        <w:rPr>
          <w:b/>
        </w:rPr>
        <w:t>3</w:t>
      </w:r>
      <w:r w:rsidRPr="002D5A40">
        <w:rPr>
          <w:b/>
        </w:rPr>
        <w:t xml:space="preserve"> %).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  <w:color w:val="auto"/>
        </w:rPr>
      </w:pPr>
      <w:r w:rsidRPr="002D5A40">
        <w:t>Výroční zprávy OP</w:t>
      </w:r>
      <w:r w:rsidR="004F66F9">
        <w:t xml:space="preserve"> </w:t>
      </w:r>
      <w:r w:rsidRPr="002D5A40">
        <w:t xml:space="preserve">ŽP: </w:t>
      </w:r>
      <w:hyperlink r:id="rId40" w:history="1">
        <w:r w:rsidRPr="002D5A40">
          <w:rPr>
            <w:rStyle w:val="Hypertextovodkaz"/>
          </w:rPr>
          <w:t>http://www.opzp.cz/sekce/522/vyrocni-zpravy/</w:t>
        </w:r>
      </w:hyperlink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Zpráva o stavu vodního hospodářství ČR (Modré zprávy): </w:t>
      </w:r>
      <w:hyperlink r:id="rId41" w:history="1">
        <w:r w:rsidRPr="002D5A40">
          <w:rPr>
            <w:rStyle w:val="Hypertextovodkaz"/>
          </w:rPr>
          <w:t>http://eagri.cz/public/web/mze/voda/osveta-a-publikace/publikace-a-dokumenty/modre-zpravy/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</w:pPr>
      <w:r w:rsidRPr="002D5A40">
        <w:t xml:space="preserve">Ročenky Vodovody a kanalizace ČR: </w:t>
      </w:r>
      <w:hyperlink r:id="rId42" w:history="1">
        <w:r w:rsidRPr="002D5A40">
          <w:rPr>
            <w:rStyle w:val="Hypertextovodkaz"/>
          </w:rPr>
          <w:t>http://eagri.cz/public/web/mze/voda/osveta-a-publikace/publikace-a-dokumenty/vodovody-a-kanalizace/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7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43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2D5A40" w:rsidRDefault="007879D0">
      <w:pPr>
        <w:pStyle w:val="Nadpis2"/>
        <w:rPr>
          <w:b w:val="0"/>
        </w:rPr>
      </w:pPr>
      <w:bookmarkStart w:id="30" w:name="_Toc404179361"/>
      <w:bookmarkStart w:id="31" w:name="_Toc404179434"/>
      <w:r w:rsidRPr="00FC7D3E">
        <w:lastRenderedPageBreak/>
        <w:t>Ovzduší</w:t>
      </w:r>
      <w:bookmarkEnd w:id="30"/>
      <w:bookmarkEnd w:id="31"/>
      <w:r w:rsidRPr="002D5A40">
        <w:t xml:space="preserve"> </w:t>
      </w:r>
    </w:p>
    <w:p w:rsidR="007879D0" w:rsidRDefault="007879D0" w:rsidP="007879D0"/>
    <w:p w:rsidR="007879D0" w:rsidRPr="00745CBC" w:rsidRDefault="007879D0" w:rsidP="007879D0">
      <w:r>
        <w:t>Poznámka: Indikátory jsou hodnoceny pro emise ze stacionárních zdrojů, protože intervence OP</w:t>
      </w:r>
      <w:r w:rsidR="004F66F9">
        <w:t> </w:t>
      </w:r>
      <w:r>
        <w:t>ŽP se týkají z naprosté většiny této kategorie zdrojů.</w:t>
      </w:r>
    </w:p>
    <w:p w:rsidR="007879D0" w:rsidRDefault="007879D0" w:rsidP="00FC7D3E">
      <w:pPr>
        <w:pStyle w:val="Nadpis4"/>
      </w:pPr>
      <w:bookmarkStart w:id="32" w:name="_Toc404179435"/>
      <w:r w:rsidRPr="002D5A40">
        <w:t>Snížení emisí TZL ze stacionárních zdrojů</w:t>
      </w:r>
      <w:bookmarkEnd w:id="32"/>
    </w:p>
    <w:p w:rsidR="000455A1" w:rsidRPr="00FC7D3E" w:rsidRDefault="000455A1">
      <w:pPr>
        <w:rPr>
          <w:lang w:eastAsia="en-US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4F66F9">
        <w:t>je dopad intervencí OP ŽP 2007-</w:t>
      </w:r>
      <w:r w:rsidRPr="002D5A40">
        <w:t>2013 na celkové snížení emisí tuhých znečišťujících látek ze stacionárních zdrojů znečišťování ovzduší v ČR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emisí tuhých znečišťujících látek (TZL)</w:t>
      </w:r>
      <w:r w:rsidRPr="002D5A40">
        <w:rPr>
          <w:sz w:val="24"/>
          <w:szCs w:val="24"/>
          <w:vertAlign w:val="subscript"/>
        </w:rPr>
        <w:t xml:space="preserve"> </w:t>
      </w:r>
      <w:r w:rsidRPr="002D5A40">
        <w:t>ze stacionárních zdrojů znečišťování ovzduší (dosavadní kategorie REZZO 1, REZZO 2 a REZZO 3) dosaženého prostřednictvím intervencí O</w:t>
      </w:r>
      <w:r w:rsidR="004F66F9">
        <w:t xml:space="preserve"> PŽP 2007-</w:t>
      </w:r>
      <w:r w:rsidRPr="002D5A40">
        <w:t>2013na celkovém snížení emisí TZL ze stacionárních zdrojů v ČR v 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emisí v daném časovém období dosaž</w:t>
      </w:r>
      <w:r w:rsidR="004F66F9">
        <w:t>ené za podpory OP ŽP 2007-</w:t>
      </w:r>
      <w:r w:rsidR="000455A1">
        <w:t>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celkové snížení emisí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Podíl snížení emisí tuhých znečišťujících látek (TZL) z malých stacionárních zdrojů znečišťování ovzduší (dosavadní kategorie) dosaženého prostře</w:t>
      </w:r>
      <w:r w:rsidR="004F66F9">
        <w:t>dnictvím intervencí OP ŽP 2007-2013 na </w:t>
      </w:r>
      <w:r w:rsidRPr="002D5A40">
        <w:t>celkovém snížení emisí TZL z malých stacionární</w:t>
      </w:r>
      <w:r w:rsidR="000455A1">
        <w:t xml:space="preserve">ch zdrojů v ČR v  daném časovém období </w:t>
      </w:r>
      <w:r w:rsidRPr="002D5A40">
        <w:t>(1 rok).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4F66F9">
        <w:t>ající se intervencí OPŽP 2007-</w:t>
      </w:r>
      <w:r w:rsidRPr="002D5A40">
        <w:t>2013 jsou k dispozi</w:t>
      </w:r>
      <w:r w:rsidR="004F66F9">
        <w:t>ci v Informačním systému SFŽP a </w:t>
      </w:r>
      <w:r>
        <w:t>částečně</w:t>
      </w:r>
      <w:r w:rsidRPr="002D5A40">
        <w:t xml:space="preserve"> ve výročních zprávách OP</w:t>
      </w:r>
      <w:r w:rsidR="004F66F9">
        <w:t xml:space="preserve"> </w:t>
      </w:r>
      <w:r w:rsidRPr="002D5A40">
        <w:t>ŽP.</w:t>
      </w:r>
    </w:p>
    <w:p w:rsidR="007879D0" w:rsidRPr="002D5A40" w:rsidRDefault="007879D0" w:rsidP="007879D0">
      <w:r w:rsidRPr="002D5A40">
        <w:t xml:space="preserve">Data na národní úrovni jsou k dispozici např. v ročenkách Znečištění ovzduší na území ČR, vydávaných Českým hydrometeorologickým ústavem a také ve Statistických ročenkách – Životní </w:t>
      </w:r>
      <w:r w:rsidRPr="002D5A40">
        <w:lastRenderedPageBreak/>
        <w:t xml:space="preserve">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Pr="00FC7D3E" w:rsidRDefault="007879D0" w:rsidP="007879D0">
      <w:r w:rsidRPr="002D5A40">
        <w:t>n + 1 (data za příslušný rok n jsou k dispozici nejpozděj</w:t>
      </w:r>
      <w:r w:rsidR="000455A1">
        <w:t>i do konce roku následujícího).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>Systémová nejistota je dána metodikou přípravy národní emisní bilance, kdy jsou emise z velkých a středních stacionárních zdrojů znečišťování ovzduší zjišťovány kontinuálním či periodickým měřením zatímco emise z malých stacionárních zdrojů jsou obvykle odhadová</w:t>
      </w:r>
      <w:r w:rsidR="000455A1">
        <w:t>ny výpočtem. Z analýzy zdrojové</w:t>
      </w:r>
      <w:r w:rsidRPr="002D5A40">
        <w:t xml:space="preserve"> struktury emisí (poměr měřených emisí z bodových zdrojů a emisí ze zdrojů difuzních) vyplývá, že vyšší míru přesnosti emisních dat lze očekávat v případě emisí oxidu siřičitého a oxidů dusíku, vyšší míru nejistoty je nutno očekávat v případě tuhých znečišťujících látek, těkavých organických látek a zejména amoniaku. </w:t>
      </w:r>
    </w:p>
    <w:p w:rsidR="007879D0" w:rsidRPr="002D5A40" w:rsidRDefault="007879D0" w:rsidP="007879D0">
      <w:r w:rsidRPr="002D5A40">
        <w:t>Emise ze spalovacích stacionárních zdrojů znečišťování ovzduší jsou navíc závislé na meteorologických parametrech (délka a teplotní charakter topné sezóny), což může dokonce vést k meziročnímu zvýšení národních emisí (zejména v případě TZL, SO</w:t>
      </w:r>
      <w:r w:rsidRPr="002D5A40">
        <w:rPr>
          <w:vertAlign w:val="subscript"/>
        </w:rPr>
        <w:t>2</w:t>
      </w:r>
      <w:r w:rsidRPr="002D5A40">
        <w:t xml:space="preserve"> a částečně NO</w:t>
      </w:r>
      <w:r w:rsidRPr="002D5A40">
        <w:rPr>
          <w:vertAlign w:val="subscript"/>
        </w:rPr>
        <w:t>X</w:t>
      </w:r>
      <w:r>
        <w:t xml:space="preserve"> a VOC)</w:t>
      </w:r>
      <w:r w:rsidRPr="002D5A40">
        <w:t>.</w:t>
      </w:r>
    </w:p>
    <w:p w:rsidR="007879D0" w:rsidRPr="002D5A40" w:rsidRDefault="007879D0" w:rsidP="007879D0">
      <w:r w:rsidRPr="002D5A40">
        <w:t>V případě tuhých znečišťujících látek navíc emisní údaje vztahující se k opatřením podporovaným z</w:t>
      </w:r>
      <w:r w:rsidR="004F66F9">
        <w:t> </w:t>
      </w:r>
      <w:r w:rsidRPr="002D5A40">
        <w:t>OP</w:t>
      </w:r>
      <w:r w:rsidR="004F66F9">
        <w:t xml:space="preserve"> </w:t>
      </w:r>
      <w:r w:rsidRPr="002D5A40">
        <w:t>ŽP zahrnují část emisí, které nejsou zohledněny v národní emisní bilanci.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ČR 2007 – 2013 – Emise TZL ze stacionárních zdrojů (REZZO 1, REZZO 2, 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Celkové emise </w:t>
            </w:r>
            <w:r>
              <w:rPr>
                <w:sz w:val="18"/>
                <w:szCs w:val="18"/>
              </w:rPr>
              <w:t>TZL</w:t>
            </w:r>
            <w:r w:rsidRPr="002D5A40">
              <w:rPr>
                <w:sz w:val="18"/>
                <w:szCs w:val="18"/>
              </w:rPr>
              <w:t>ze stacionárních zdrojů v</w:t>
            </w:r>
            <w:r>
              <w:rPr>
                <w:sz w:val="18"/>
                <w:szCs w:val="18"/>
              </w:rPr>
              <w:t> </w:t>
            </w:r>
            <w:r w:rsidRPr="002D5A40">
              <w:rPr>
                <w:sz w:val="18"/>
                <w:szCs w:val="18"/>
              </w:rPr>
              <w:t>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36,88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36,51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31,39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33,44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29,31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35,11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35,61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(-0,37)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(-5,12)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2,05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(-4,13)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520719">
              <w:rPr>
                <w:color w:val="FF0000"/>
                <w:sz w:val="18"/>
                <w:szCs w:val="18"/>
              </w:rPr>
              <w:t>3,47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520719">
              <w:rPr>
                <w:color w:val="FF0000"/>
                <w:sz w:val="18"/>
                <w:szCs w:val="18"/>
              </w:rPr>
              <w:t>0,5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520719" w:rsidRDefault="007879D0" w:rsidP="007B3CDE">
            <w:pPr>
              <w:pStyle w:val="Odstavecseseznamem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(-1,77)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(-1,27)</w:t>
            </w:r>
          </w:p>
        </w:tc>
      </w:tr>
    </w:tbl>
    <w:p w:rsidR="007879D0" w:rsidRPr="002D5A40" w:rsidRDefault="007879D0" w:rsidP="007879D0"/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 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01"/>
        <w:gridCol w:w="899"/>
        <w:gridCol w:w="75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Snížení emisí ze stacionárních zdrojů za podpory OP</w:t>
            </w:r>
            <w:r w:rsidR="004F66F9">
              <w:rPr>
                <w:sz w:val="18"/>
                <w:szCs w:val="18"/>
              </w:rPr>
              <w:t xml:space="preserve"> </w:t>
            </w:r>
            <w:r w:rsidRPr="002D5A40">
              <w:rPr>
                <w:sz w:val="18"/>
                <w:szCs w:val="18"/>
              </w:rPr>
              <w:t>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0,0036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002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Default="007879D0" w:rsidP="007879D0">
      <w:pPr>
        <w:rPr>
          <w:b/>
        </w:rPr>
      </w:pPr>
      <w:r w:rsidRPr="002D5A40">
        <w:rPr>
          <w:b/>
        </w:rPr>
        <w:t xml:space="preserve">IND = 100 ( 0,0036/ </w:t>
      </w:r>
      <w:r>
        <w:rPr>
          <w:b/>
        </w:rPr>
        <w:t>1,77</w:t>
      </w:r>
      <w:r w:rsidR="000455A1">
        <w:rPr>
          <w:b/>
        </w:rPr>
        <w:t xml:space="preserve">) = </w:t>
      </w:r>
      <w:r w:rsidRPr="002D5A40">
        <w:rPr>
          <w:b/>
        </w:rPr>
        <w:t>0,</w:t>
      </w:r>
      <w:r>
        <w:rPr>
          <w:b/>
        </w:rPr>
        <w:t>2</w:t>
      </w:r>
      <w:r w:rsidRPr="002D5A40">
        <w:rPr>
          <w:b/>
        </w:rPr>
        <w:t xml:space="preserve"> %</w:t>
      </w:r>
    </w:p>
    <w:p w:rsidR="004261E3" w:rsidRDefault="004261E3" w:rsidP="007879D0">
      <w:pPr>
        <w:rPr>
          <w:b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Výpočet hodnoty indikátoru k roku 2013</w:t>
      </w:r>
    </w:p>
    <w:p w:rsidR="007879D0" w:rsidRPr="00FC7D3E" w:rsidRDefault="007879D0" w:rsidP="007879D0">
      <w:pPr>
        <w:rPr>
          <w:b/>
          <w:color w:val="FF0000"/>
        </w:rPr>
      </w:pPr>
      <w:r w:rsidRPr="002D5A40">
        <w:rPr>
          <w:b/>
        </w:rPr>
        <w:t>IND = 100 (</w:t>
      </w:r>
      <w:r>
        <w:rPr>
          <w:b/>
        </w:rPr>
        <w:t>2,00</w:t>
      </w:r>
      <w:r w:rsidRPr="002D5A40">
        <w:rPr>
          <w:b/>
        </w:rPr>
        <w:t xml:space="preserve">/ </w:t>
      </w:r>
      <w:r>
        <w:rPr>
          <w:b/>
        </w:rPr>
        <w:t>1,27</w:t>
      </w:r>
      <w:r w:rsidR="005164E3">
        <w:rPr>
          <w:b/>
        </w:rPr>
        <w:t>) =</w:t>
      </w:r>
      <w:r w:rsidRPr="002D5A40">
        <w:rPr>
          <w:b/>
        </w:rPr>
        <w:t xml:space="preserve"> </w:t>
      </w:r>
      <w:r w:rsidR="000455A1">
        <w:rPr>
          <w:b/>
          <w:color w:val="FF0000"/>
        </w:rPr>
        <w:t>157 %</w:t>
      </w:r>
    </w:p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2013 – Emise z malých stacionárních zdrojů (REZZO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 malých stacionárních zdrojů v</w:t>
            </w:r>
            <w:r>
              <w:rPr>
                <w:sz w:val="18"/>
                <w:szCs w:val="18"/>
              </w:rPr>
              <w:t> </w:t>
            </w:r>
            <w:r w:rsidRPr="002D5A40">
              <w:rPr>
                <w:sz w:val="18"/>
                <w:szCs w:val="18"/>
              </w:rPr>
              <w:t>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18,85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20,76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19,29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21,73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18,78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  <w:r w:rsidRPr="002D5A40">
              <w:rPr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25,80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1,91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(-1,47)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2,44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(-2,95)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447BAB">
              <w:rPr>
                <w:color w:val="FF0000"/>
                <w:sz w:val="18"/>
                <w:szCs w:val="18"/>
              </w:rPr>
              <w:t>6,5</w:t>
            </w:r>
            <w:r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447BAB">
              <w:rPr>
                <w:color w:val="FF0000"/>
                <w:sz w:val="18"/>
                <w:szCs w:val="18"/>
              </w:rPr>
              <w:t>0,52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447BAB">
              <w:rPr>
                <w:b/>
                <w:color w:val="FF0000"/>
                <w:sz w:val="18"/>
                <w:szCs w:val="18"/>
              </w:rPr>
              <w:t>6,43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447BAB">
              <w:rPr>
                <w:b/>
                <w:color w:val="FF0000"/>
                <w:sz w:val="18"/>
                <w:szCs w:val="18"/>
              </w:rPr>
              <w:t>6,95</w:t>
            </w:r>
          </w:p>
        </w:tc>
      </w:tr>
    </w:tbl>
    <w:p w:rsidR="007879D0" w:rsidRPr="002D5A40" w:rsidRDefault="007879D0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odvozeného indikátoru k rokům 2012 a 2012</w:t>
      </w:r>
    </w:p>
    <w:p w:rsidR="007879D0" w:rsidRPr="002D5A40" w:rsidRDefault="007879D0" w:rsidP="007879D0">
      <w:pPr>
        <w:rPr>
          <w:color w:val="FF0000"/>
        </w:rPr>
      </w:pPr>
      <w:r w:rsidRPr="002D5A40">
        <w:rPr>
          <w:color w:val="FF0000"/>
        </w:rPr>
        <w:t xml:space="preserve">Hodnotu </w:t>
      </w:r>
      <w:r>
        <w:rPr>
          <w:color w:val="FF0000"/>
        </w:rPr>
        <w:t xml:space="preserve">odvozeného </w:t>
      </w:r>
      <w:r w:rsidRPr="002D5A40">
        <w:rPr>
          <w:color w:val="FF0000"/>
        </w:rPr>
        <w:t xml:space="preserve">indikátoru nelze vypočítat z důvodu rostoucího trendu národních emisí TZL z malých stacionárních zdrojů. </w:t>
      </w:r>
    </w:p>
    <w:p w:rsidR="007879D0" w:rsidRPr="002D5A40" w:rsidRDefault="007879D0" w:rsidP="007879D0">
      <w:pPr>
        <w:rPr>
          <w:color w:val="FF0000"/>
        </w:rPr>
      </w:pPr>
      <w:r w:rsidRPr="002D5A40">
        <w:rPr>
          <w:color w:val="FF0000"/>
        </w:rPr>
        <w:t>Z porovnání národních dat s daty OP</w:t>
      </w:r>
      <w:r w:rsidR="004F66F9">
        <w:rPr>
          <w:color w:val="FF0000"/>
        </w:rPr>
        <w:t xml:space="preserve"> </w:t>
      </w:r>
      <w:r w:rsidRPr="002D5A40">
        <w:rPr>
          <w:color w:val="FF0000"/>
        </w:rPr>
        <w:t xml:space="preserve">ŽP nicméně vyplývá, že </w:t>
      </w:r>
      <w:r>
        <w:rPr>
          <w:color w:val="FF0000"/>
        </w:rPr>
        <w:t xml:space="preserve">roční </w:t>
      </w:r>
      <w:r w:rsidRPr="002D5A40">
        <w:rPr>
          <w:color w:val="FF0000"/>
        </w:rPr>
        <w:t>snížení</w:t>
      </w:r>
      <w:r>
        <w:rPr>
          <w:color w:val="FF0000"/>
        </w:rPr>
        <w:t xml:space="preserve"> emisí</w:t>
      </w:r>
      <w:r w:rsidRPr="002D5A40">
        <w:rPr>
          <w:color w:val="FF0000"/>
        </w:rPr>
        <w:t xml:space="preserve"> dosažené intervencemi OP</w:t>
      </w:r>
      <w:r w:rsidR="004F66F9">
        <w:rPr>
          <w:color w:val="FF0000"/>
        </w:rPr>
        <w:t xml:space="preserve"> </w:t>
      </w:r>
      <w:r w:rsidRPr="002D5A40">
        <w:rPr>
          <w:color w:val="FF0000"/>
        </w:rPr>
        <w:t>ŽP, které se k roku 201</w:t>
      </w:r>
      <w:r>
        <w:rPr>
          <w:color w:val="FF0000"/>
        </w:rPr>
        <w:t>3</w:t>
      </w:r>
      <w:r w:rsidR="000455A1">
        <w:rPr>
          <w:color w:val="FF0000"/>
        </w:rPr>
        <w:t xml:space="preserve"> pohybuje na úrovni </w:t>
      </w:r>
      <w:r>
        <w:rPr>
          <w:color w:val="FF0000"/>
        </w:rPr>
        <w:t>cca 8</w:t>
      </w:r>
      <w:r w:rsidR="000455A1">
        <w:rPr>
          <w:color w:val="FF0000"/>
        </w:rPr>
        <w:t xml:space="preserve"> %</w:t>
      </w:r>
      <w:r w:rsidRPr="002D5A40">
        <w:rPr>
          <w:color w:val="FF0000"/>
        </w:rPr>
        <w:t xml:space="preserve"> průměru celkových </w:t>
      </w:r>
      <w:r>
        <w:rPr>
          <w:color w:val="FF0000"/>
        </w:rPr>
        <w:t xml:space="preserve">ročních </w:t>
      </w:r>
      <w:r w:rsidRPr="002D5A40">
        <w:rPr>
          <w:color w:val="FF0000"/>
        </w:rPr>
        <w:t>emisí z malých zdrojů v letech 20</w:t>
      </w:r>
      <w:r>
        <w:rPr>
          <w:color w:val="FF0000"/>
        </w:rPr>
        <w:t>12</w:t>
      </w:r>
      <w:r w:rsidRPr="002D5A40">
        <w:rPr>
          <w:color w:val="FF0000"/>
        </w:rPr>
        <w:t xml:space="preserve"> – 201</w:t>
      </w:r>
      <w:r>
        <w:rPr>
          <w:color w:val="FF0000"/>
        </w:rPr>
        <w:t>3</w:t>
      </w:r>
      <w:r w:rsidRPr="002D5A40">
        <w:rPr>
          <w:color w:val="FF0000"/>
        </w:rPr>
        <w:t xml:space="preserve"> (2</w:t>
      </w:r>
      <w:r>
        <w:rPr>
          <w:color w:val="FF0000"/>
        </w:rPr>
        <w:t>5,5</w:t>
      </w:r>
      <w:r w:rsidRPr="002D5A40">
        <w:rPr>
          <w:color w:val="FF0000"/>
        </w:rPr>
        <w:t xml:space="preserve"> kt).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Default="007879D0" w:rsidP="007879D0">
      <w:pPr>
        <w:rPr>
          <w:b/>
        </w:rPr>
      </w:pPr>
      <w:r w:rsidRPr="002D5A40">
        <w:rPr>
          <w:b/>
        </w:rPr>
        <w:t>Podíl snížení emisí tuhých znečišťujících látek (TZL) ze stacionárních zdrojů znečišťování ovzduší dosaženého prostřednictvím intervencí OP</w:t>
      </w:r>
      <w:r w:rsidR="004F66F9">
        <w:rPr>
          <w:b/>
        </w:rPr>
        <w:t xml:space="preserve"> ŽP 2007-</w:t>
      </w:r>
      <w:r w:rsidRPr="002D5A40">
        <w:rPr>
          <w:b/>
        </w:rPr>
        <w:t xml:space="preserve">2013 na celkovém snížení emisí TZL ze stacionárních zdrojů (dosavadní kategorie REZZO 1, REZZO 2 </w:t>
      </w:r>
      <w:r w:rsidR="004F66F9">
        <w:rPr>
          <w:b/>
        </w:rPr>
        <w:t>a REZZO 3) v ČR v období 2007-</w:t>
      </w:r>
      <w:r w:rsidRPr="002D5A40">
        <w:rPr>
          <w:b/>
        </w:rPr>
        <w:t>201</w:t>
      </w:r>
      <w:r>
        <w:rPr>
          <w:b/>
        </w:rPr>
        <w:t>3</w:t>
      </w:r>
      <w:r w:rsidRPr="002D5A40">
        <w:rPr>
          <w:b/>
        </w:rPr>
        <w:t xml:space="preserve"> </w:t>
      </w:r>
      <w:r>
        <w:rPr>
          <w:b/>
        </w:rPr>
        <w:t>srovnatelný s celkovým snížením emisí</w:t>
      </w:r>
      <w:r w:rsidRPr="002D5A40">
        <w:rPr>
          <w:b/>
        </w:rPr>
        <w:t xml:space="preserve">.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>Výroční zprávy OP</w:t>
      </w:r>
      <w:r w:rsidR="004F66F9">
        <w:t xml:space="preserve"> </w:t>
      </w:r>
      <w:r w:rsidRPr="002D5A40">
        <w:t xml:space="preserve">ŽP: </w:t>
      </w:r>
      <w:hyperlink r:id="rId44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Ročenky znečištění ovzduší na území ČR: </w:t>
      </w:r>
      <w:hyperlink r:id="rId45" w:history="1">
        <w:r w:rsidRPr="002D5A40">
          <w:rPr>
            <w:rStyle w:val="Hypertextovodkaz"/>
          </w:rPr>
          <w:t>http://portal.chmi.cz/files/portal/docs/uoco/isko/grafroc/grafroc_CZ.html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Emisní bilance ČR: </w:t>
      </w:r>
      <w:hyperlink r:id="rId46" w:history="1">
        <w:r w:rsidRPr="002D5A40">
          <w:rPr>
            <w:rStyle w:val="Hypertextovodkaz"/>
          </w:rPr>
          <w:t>http://portal.chmi.cz/files/portal/docs/uoco/oez/emisnibilance_CZ.html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47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2D5A40" w:rsidRDefault="007879D0" w:rsidP="00FC7D3E">
      <w:pPr>
        <w:pStyle w:val="Nadpis4"/>
      </w:pPr>
      <w:bookmarkStart w:id="33" w:name="_Toc404179436"/>
      <w:r w:rsidRPr="002D5A40">
        <w:lastRenderedPageBreak/>
        <w:t>Snížení emisí SO</w:t>
      </w:r>
      <w:r w:rsidRPr="002D5A40">
        <w:rPr>
          <w:vertAlign w:val="subscript"/>
        </w:rPr>
        <w:t>2</w:t>
      </w:r>
      <w:r w:rsidRPr="002D5A40">
        <w:t xml:space="preserve"> ze stacionárních zdrojů</w:t>
      </w:r>
      <w:bookmarkEnd w:id="33"/>
    </w:p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stanovuje dopad intervencí OP</w:t>
      </w:r>
      <w:r w:rsidR="004F66F9">
        <w:t xml:space="preserve"> </w:t>
      </w:r>
      <w:r w:rsidRPr="002D5A40">
        <w:t>ŽP 2</w:t>
      </w:r>
      <w:r w:rsidR="004F66F9">
        <w:t>007-</w:t>
      </w:r>
      <w:r w:rsidRPr="002D5A40">
        <w:t>2013 na celkové snížení emisí oxidu siřičitého ze stacionárních zdrojů znečišťování ovzduší v ČR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emisí oxidu siřičitého (SO</w:t>
      </w:r>
      <w:r w:rsidRPr="002D5A40">
        <w:rPr>
          <w:vertAlign w:val="subscript"/>
        </w:rPr>
        <w:t>2</w:t>
      </w:r>
      <w:r w:rsidRPr="002D5A40">
        <w:t>)</w:t>
      </w:r>
      <w:r w:rsidRPr="002D5A40">
        <w:rPr>
          <w:sz w:val="24"/>
          <w:szCs w:val="24"/>
          <w:vertAlign w:val="subscript"/>
        </w:rPr>
        <w:t xml:space="preserve"> </w:t>
      </w:r>
      <w:r w:rsidRPr="002D5A40">
        <w:t>ze stacionárních zdrojů znečišťování ovzduší (dosavadní kategorie REZZO 1, REZZO 2 a REZZO 3) dosaženého prostřednictvím intervencí OP</w:t>
      </w:r>
      <w:r w:rsidR="004F66F9">
        <w:t xml:space="preserve"> </w:t>
      </w:r>
      <w:r w:rsidRPr="002D5A40">
        <w:t>ŽP na celkovém snížení emisí SO</w:t>
      </w:r>
      <w:r w:rsidRPr="002D5A40">
        <w:rPr>
          <w:vertAlign w:val="subscript"/>
        </w:rPr>
        <w:t>2</w:t>
      </w:r>
      <w:r w:rsidRPr="002D5A40">
        <w:t xml:space="preserve"> ze stacionární</w:t>
      </w:r>
      <w:r w:rsidR="000455A1">
        <w:t>ch zdrojů v ČR v  daném časovém</w:t>
      </w:r>
      <w:r w:rsidRPr="002D5A40">
        <w:t xml:space="preserve">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2D5A40" w:rsidRDefault="007879D0" w:rsidP="007879D0">
      <w:pPr>
        <w:rPr>
          <w:i/>
          <w:color w:val="0070C0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emisí v daném časovém období dosaž</w:t>
      </w:r>
      <w:r w:rsidR="000455A1">
        <w:t>ené za podpory OP</w:t>
      </w:r>
      <w:r w:rsidR="004F66F9">
        <w:t xml:space="preserve"> ŽP 2007-</w:t>
      </w:r>
      <w:r w:rsidR="000455A1">
        <w:t>2013</w:t>
      </w:r>
      <w:r w:rsidR="004F66F9">
        <w:t xml:space="preserve"> a </w:t>
      </w:r>
      <w:r w:rsidRPr="002D5A40">
        <w:t>X</w:t>
      </w:r>
      <w:r w:rsidRPr="002D5A40">
        <w:rPr>
          <w:vertAlign w:val="subscript"/>
        </w:rPr>
        <w:t>celk</w:t>
      </w:r>
      <w:r w:rsidRPr="002D5A40">
        <w:t xml:space="preserve"> je celkové snížení emisí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Podíl snížení emisí oxidu siřičitého (SO</w:t>
      </w:r>
      <w:r w:rsidRPr="002D5A40">
        <w:rPr>
          <w:vertAlign w:val="subscript"/>
        </w:rPr>
        <w:t>2</w:t>
      </w:r>
      <w:r w:rsidRPr="002D5A40">
        <w:t>) z malých stacionárních zdrojů znečišťování ovzduší (dosavadní kategorie REZZO 3) dosaženého prostřednictvím intervencí OP</w:t>
      </w:r>
      <w:r w:rsidR="004F66F9">
        <w:t xml:space="preserve"> </w:t>
      </w:r>
      <w:r w:rsidRPr="002D5A40">
        <w:t>ŽP na celkovém snížení emisí SO</w:t>
      </w:r>
      <w:r w:rsidRPr="002D5A40">
        <w:rPr>
          <w:vertAlign w:val="subscript"/>
        </w:rPr>
        <w:t>2</w:t>
      </w:r>
      <w:r w:rsidRPr="002D5A40">
        <w:t xml:space="preserve"> z malých stacionárníc</w:t>
      </w:r>
      <w:r w:rsidR="000455A1">
        <w:t xml:space="preserve">h zdrojů v ČR v  daném časovém </w:t>
      </w:r>
      <w:r w:rsidRPr="002D5A40">
        <w:t>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týkající se intervencí OP</w:t>
      </w:r>
      <w:r w:rsidR="004F66F9">
        <w:t xml:space="preserve"> ŽP 2007-</w:t>
      </w:r>
      <w:r w:rsidRPr="002D5A40">
        <w:t>2013 jsou k dispozi</w:t>
      </w:r>
      <w:r w:rsidR="004261E3">
        <w:t>ci v Informačním systému SFŽP a </w:t>
      </w:r>
      <w:r>
        <w:t>částečně</w:t>
      </w:r>
      <w:r w:rsidRPr="002D5A40">
        <w:t xml:space="preserve"> ve výročních zprávách OP</w:t>
      </w:r>
      <w:r w:rsidR="004F66F9">
        <w:t xml:space="preserve"> </w:t>
      </w:r>
      <w:r w:rsidRPr="002D5A40">
        <w:t>ŽP.</w:t>
      </w:r>
    </w:p>
    <w:p w:rsidR="007879D0" w:rsidRPr="002D5A40" w:rsidRDefault="007879D0" w:rsidP="007879D0">
      <w:r w:rsidRPr="002D5A40">
        <w:t xml:space="preserve">Data na národní úrovni jsou k dispozici např. v ročenkách Znečištění ovzduší na území ČR, vydávaných Českým hydrometeorologickým ústavem a také ve Statistických ročenkách – Životní 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Default="007879D0" w:rsidP="007879D0">
      <w:r w:rsidRPr="002D5A40">
        <w:t>n + 1 (data za příslušný rok n jsou k dispozici nejpozději do konce roku následujícího).</w:t>
      </w:r>
    </w:p>
    <w:p w:rsidR="004261E3" w:rsidRPr="002D5A40" w:rsidRDefault="004261E3" w:rsidP="007879D0"/>
    <w:p w:rsidR="001026BF" w:rsidRDefault="001026BF" w:rsidP="007879D0">
      <w:pPr>
        <w:rPr>
          <w:b/>
          <w:i/>
          <w:color w:val="76923C" w:themeColor="accent3" w:themeShade="BF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Nejistota</w:t>
      </w:r>
    </w:p>
    <w:p w:rsidR="007879D0" w:rsidRPr="002D5A40" w:rsidRDefault="007879D0" w:rsidP="007879D0">
      <w:r w:rsidRPr="002D5A40">
        <w:t xml:space="preserve">Systémová nejistota je dána metodikou přípravy národní emisní bilance, kdy jsou emise z velkých a středních stacionárních zdrojů znečišťování ovzduší zjišťovány kontinuálním či periodickým měřením zatímco emise z malých stacionárních zdrojů jsou obvykle odhadovány výpočtem. Z analýzy zdrojové struktury emisí (poměr měřených emisí z bodových zdrojů a emisí ze zdrojů difuzních) vyplývá, že vyšší míru přesnosti emisních dat lze očekávat v případě emisí oxidu siřičitého a oxidů dusíku, vyšší míru nejistoty je nutno očekávat v případě tuhých znečišťujících látek, těkavých organických látek a zejména amoniaku. </w:t>
      </w:r>
    </w:p>
    <w:p w:rsidR="007879D0" w:rsidRPr="002D5A40" w:rsidRDefault="007879D0" w:rsidP="007879D0">
      <w:r w:rsidRPr="002D5A40">
        <w:t>Emise ze spalovacích stacionárních zdrojů znečišťování ovzduší jsou navíc závislé na meteorologických parametrech (délka a teplotní charakter topné sezóny), což může dokonce vést k meziročnímu zvýšení národních emisí (zejména v případě TZL, SO</w:t>
      </w:r>
      <w:r w:rsidRPr="002D5A40">
        <w:rPr>
          <w:vertAlign w:val="subscript"/>
        </w:rPr>
        <w:t>2</w:t>
      </w:r>
      <w:r w:rsidRPr="002D5A40">
        <w:t xml:space="preserve"> a částečně NO</w:t>
      </w:r>
      <w:r w:rsidRPr="002D5A40">
        <w:rPr>
          <w:vertAlign w:val="subscript"/>
        </w:rPr>
        <w:t>X</w:t>
      </w:r>
      <w:r>
        <w:t xml:space="preserve"> a VOC)</w:t>
      </w:r>
      <w:r w:rsidRPr="002D5A40">
        <w:t>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ČR 2007 – 2013 – Emise SO</w:t>
      </w:r>
      <w:r w:rsidRPr="00FC7D3E">
        <w:rPr>
          <w:b/>
          <w:i/>
          <w:color w:val="76923C" w:themeColor="accent3" w:themeShade="BF"/>
          <w:vertAlign w:val="subscript"/>
        </w:rPr>
        <w:t>2</w:t>
      </w:r>
      <w:r w:rsidRPr="00FC7D3E">
        <w:rPr>
          <w:b/>
          <w:i/>
          <w:color w:val="76923C" w:themeColor="accent3" w:themeShade="BF"/>
        </w:rPr>
        <w:t xml:space="preserve"> ze stacionárních zdrojů (REZZO 1, REZZO 2, REZZO 3)</w:t>
      </w:r>
    </w:p>
    <w:p w:rsidR="007879D0" w:rsidRPr="002D5A40" w:rsidRDefault="007879D0" w:rsidP="007879D0">
      <w:r w:rsidRPr="002D5A40">
        <w:t>Žádoucí vývoj dat na národní úrovni je meziroční pokles.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ze stacionárních zdrojů v</w:t>
            </w:r>
            <w:r>
              <w:rPr>
                <w:sz w:val="18"/>
                <w:szCs w:val="18"/>
              </w:rPr>
              <w:t> </w:t>
            </w:r>
            <w:r w:rsidRPr="002D5A40">
              <w:rPr>
                <w:sz w:val="18"/>
                <w:szCs w:val="18"/>
              </w:rPr>
              <w:t>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215,9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176,4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174,0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169,7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162,9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4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137,9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(-39,5)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(-2,4)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(-4,3)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(-6,8)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</w:t>
            </w:r>
            <w:r>
              <w:rPr>
                <w:sz w:val="18"/>
                <w:szCs w:val="18"/>
              </w:rPr>
              <w:t>8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  <w:r w:rsidRPr="002D5A40">
              <w:rPr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(-16,5)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 xml:space="preserve">(- </w:t>
            </w:r>
            <w:r>
              <w:rPr>
                <w:b/>
                <w:sz w:val="18"/>
                <w:szCs w:val="18"/>
              </w:rPr>
              <w:t>61</w:t>
            </w:r>
            <w:r w:rsidRPr="002D5A40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5</w:t>
            </w:r>
            <w:r w:rsidRPr="002D5A4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rPr>
          <w:trHeight w:val="70"/>
        </w:trPr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(-78,0)</w:t>
            </w:r>
          </w:p>
        </w:tc>
      </w:tr>
    </w:tbl>
    <w:p w:rsidR="007879D0" w:rsidRPr="002D5A40" w:rsidRDefault="007879D0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OP</w:t>
      </w:r>
      <w:r w:rsidR="004F66F9">
        <w:rPr>
          <w:b/>
          <w:i/>
          <w:color w:val="76923C" w:themeColor="accent3" w:themeShade="BF"/>
        </w:rPr>
        <w:t xml:space="preserve"> </w:t>
      </w:r>
      <w:r w:rsidRPr="00FC7D3E">
        <w:rPr>
          <w:b/>
          <w:i/>
          <w:color w:val="76923C" w:themeColor="accent3" w:themeShade="BF"/>
        </w:rPr>
        <w:t>ŽP 2</w:t>
      </w:r>
      <w:r w:rsidR="004F66F9">
        <w:rPr>
          <w:b/>
          <w:i/>
          <w:color w:val="76923C" w:themeColor="accent3" w:themeShade="BF"/>
        </w:rPr>
        <w:t>007-</w:t>
      </w:r>
      <w:r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Snížení emisí ze stacionárních zdrojů za podpory OP</w:t>
            </w:r>
            <w:r w:rsidR="004F66F9">
              <w:rPr>
                <w:sz w:val="18"/>
                <w:szCs w:val="18"/>
              </w:rPr>
              <w:t xml:space="preserve"> </w:t>
            </w:r>
            <w:r w:rsidRPr="002D5A40">
              <w:rPr>
                <w:sz w:val="18"/>
                <w:szCs w:val="18"/>
              </w:rPr>
              <w:t>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0,881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940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Default="007879D0" w:rsidP="007879D0">
      <w:pPr>
        <w:rPr>
          <w:b/>
        </w:rPr>
      </w:pPr>
      <w:r w:rsidRPr="002D5A40">
        <w:rPr>
          <w:b/>
        </w:rPr>
        <w:t xml:space="preserve">IND = 100 ( 0,881/ </w:t>
      </w:r>
      <w:r>
        <w:rPr>
          <w:b/>
        </w:rPr>
        <w:t>61,5</w:t>
      </w:r>
      <w:r w:rsidR="000455A1">
        <w:rPr>
          <w:b/>
        </w:rPr>
        <w:t xml:space="preserve"> ) = </w:t>
      </w:r>
      <w:r w:rsidRPr="002D5A40">
        <w:rPr>
          <w:b/>
        </w:rPr>
        <w:t>1,</w:t>
      </w:r>
      <w:r>
        <w:rPr>
          <w:b/>
        </w:rPr>
        <w:t>4</w:t>
      </w:r>
      <w:r w:rsidRPr="002D5A40">
        <w:rPr>
          <w:b/>
        </w:rPr>
        <w:t xml:space="preserve"> %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Pr="002D5A40" w:rsidRDefault="007879D0" w:rsidP="007879D0">
      <w:pPr>
        <w:rPr>
          <w:i/>
          <w:color w:val="0070C0"/>
        </w:rPr>
      </w:pPr>
      <w:r w:rsidRPr="002D5A40">
        <w:rPr>
          <w:b/>
        </w:rPr>
        <w:t>IND = 100 ( 0,</w:t>
      </w:r>
      <w:r>
        <w:rPr>
          <w:b/>
        </w:rPr>
        <w:t>940</w:t>
      </w:r>
      <w:r w:rsidRPr="002D5A40">
        <w:rPr>
          <w:b/>
        </w:rPr>
        <w:t xml:space="preserve">/ </w:t>
      </w:r>
      <w:r>
        <w:rPr>
          <w:b/>
        </w:rPr>
        <w:t>78,0</w:t>
      </w:r>
      <w:r w:rsidR="000455A1">
        <w:rPr>
          <w:b/>
        </w:rPr>
        <w:t xml:space="preserve"> ) = </w:t>
      </w:r>
      <w:r w:rsidRPr="002D5A40">
        <w:rPr>
          <w:b/>
        </w:rPr>
        <w:t>1,</w:t>
      </w:r>
      <w:r>
        <w:rPr>
          <w:b/>
        </w:rPr>
        <w:t>2</w:t>
      </w:r>
      <w:r w:rsidRPr="002D5A40">
        <w:rPr>
          <w:b/>
        </w:rPr>
        <w:t xml:space="preserve"> % </w:t>
      </w:r>
    </w:p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2013 – Emise  SO</w:t>
      </w:r>
      <w:r w:rsidR="007879D0" w:rsidRPr="00FC7D3E">
        <w:rPr>
          <w:b/>
          <w:i/>
          <w:color w:val="76923C" w:themeColor="accent3" w:themeShade="BF"/>
          <w:vertAlign w:val="subscript"/>
        </w:rPr>
        <w:t>2</w:t>
      </w:r>
      <w:r w:rsidR="007879D0" w:rsidRPr="00FC7D3E">
        <w:rPr>
          <w:b/>
          <w:i/>
          <w:color w:val="76923C" w:themeColor="accent3" w:themeShade="BF"/>
        </w:rPr>
        <w:t xml:space="preserve"> z malých stacionárních zdrojů (REZZO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30"/>
        <w:gridCol w:w="899"/>
        <w:gridCol w:w="735"/>
        <w:gridCol w:w="735"/>
        <w:gridCol w:w="736"/>
        <w:gridCol w:w="736"/>
        <w:gridCol w:w="736"/>
        <w:gridCol w:w="736"/>
        <w:gridCol w:w="753"/>
      </w:tblGrid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(2013)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 malých stacionárních zdrojů v</w:t>
            </w:r>
            <w:r>
              <w:rPr>
                <w:sz w:val="18"/>
                <w:szCs w:val="18"/>
              </w:rPr>
              <w:t> </w:t>
            </w:r>
            <w:r w:rsidRPr="002D5A40">
              <w:rPr>
                <w:sz w:val="18"/>
                <w:szCs w:val="18"/>
              </w:rPr>
              <w:t>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23,01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24,03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24,48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28,49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25,88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D5A40">
              <w:rPr>
                <w:sz w:val="18"/>
                <w:szCs w:val="18"/>
              </w:rPr>
              <w:t>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18,82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1,02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0,45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4,01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</w:t>
            </w:r>
            <w:r w:rsidRPr="002D5A40">
              <w:rPr>
                <w:sz w:val="18"/>
                <w:szCs w:val="18"/>
              </w:rPr>
              <w:lastRenderedPageBreak/>
              <w:t>2,61)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lastRenderedPageBreak/>
              <w:t>(-</w:t>
            </w:r>
            <w:r>
              <w:rPr>
                <w:sz w:val="18"/>
                <w:szCs w:val="18"/>
              </w:rPr>
              <w:lastRenderedPageBreak/>
              <w:t>7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Pr="002D5A40">
              <w:rPr>
                <w:sz w:val="18"/>
                <w:szCs w:val="18"/>
              </w:rPr>
              <w:t>5)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665DD2">
              <w:rPr>
                <w:color w:val="FF0000"/>
                <w:sz w:val="18"/>
                <w:szCs w:val="18"/>
              </w:rPr>
              <w:lastRenderedPageBreak/>
              <w:t>0,69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lastRenderedPageBreak/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 xml:space="preserve">: 2007 </w:t>
            </w:r>
            <w:r>
              <w:rPr>
                <w:b/>
                <w:sz w:val="18"/>
                <w:szCs w:val="18"/>
              </w:rPr>
              <w:t>–</w:t>
            </w:r>
            <w:r w:rsidRPr="002D5A40">
              <w:rPr>
                <w:b/>
                <w:sz w:val="18"/>
                <w:szCs w:val="18"/>
              </w:rPr>
              <w:t xml:space="preserve">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 xml:space="preserve">(- </w:t>
            </w:r>
            <w:r>
              <w:rPr>
                <w:b/>
                <w:sz w:val="18"/>
                <w:szCs w:val="18"/>
              </w:rPr>
              <w:t>4</w:t>
            </w:r>
            <w:r w:rsidRPr="002D5A40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8</w:t>
            </w:r>
            <w:r w:rsidRPr="002D5A40">
              <w:rPr>
                <w:b/>
                <w:sz w:val="18"/>
                <w:szCs w:val="18"/>
              </w:rPr>
              <w:t>8)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 xml:space="preserve">: 2007 </w:t>
            </w:r>
            <w:r>
              <w:rPr>
                <w:b/>
                <w:sz w:val="18"/>
                <w:szCs w:val="18"/>
              </w:rPr>
              <w:t>–</w:t>
            </w:r>
            <w:r w:rsidRPr="002D5A40">
              <w:rPr>
                <w:b/>
                <w:sz w:val="18"/>
                <w:szCs w:val="18"/>
              </w:rPr>
              <w:t xml:space="preserve">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(-4,19)</w:t>
            </w:r>
          </w:p>
        </w:tc>
      </w:tr>
    </w:tbl>
    <w:p w:rsidR="007879D0" w:rsidRPr="002D5A40" w:rsidRDefault="007879D0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odvozeného indikátoru k roku 2012</w:t>
      </w:r>
    </w:p>
    <w:p w:rsidR="007879D0" w:rsidRDefault="005164E3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 xml:space="preserve">0,881 / </w:t>
      </w:r>
      <w:r w:rsidR="007879D0">
        <w:rPr>
          <w:b/>
        </w:rPr>
        <w:t>4</w:t>
      </w:r>
      <w:r w:rsidR="007879D0" w:rsidRPr="002D5A40">
        <w:rPr>
          <w:b/>
        </w:rPr>
        <w:t>,</w:t>
      </w:r>
      <w:r w:rsidR="007879D0">
        <w:rPr>
          <w:b/>
        </w:rPr>
        <w:t>8</w:t>
      </w:r>
      <w:r>
        <w:rPr>
          <w:b/>
        </w:rPr>
        <w:t>8</w:t>
      </w:r>
      <w:r w:rsidR="000455A1">
        <w:rPr>
          <w:b/>
        </w:rPr>
        <w:t xml:space="preserve">) = </w:t>
      </w:r>
      <w:r w:rsidR="007879D0" w:rsidRPr="002D5A40">
        <w:rPr>
          <w:b/>
        </w:rPr>
        <w:t>1</w:t>
      </w:r>
      <w:r w:rsidR="007879D0">
        <w:rPr>
          <w:b/>
        </w:rPr>
        <w:t>8</w:t>
      </w:r>
      <w:r w:rsidR="007879D0" w:rsidRPr="002D5A40">
        <w:rPr>
          <w:b/>
        </w:rPr>
        <w:t>,1 %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odvozeného indikátoru k roku 2013</w:t>
      </w:r>
    </w:p>
    <w:p w:rsidR="007879D0" w:rsidRPr="002D5A40" w:rsidRDefault="005164E3" w:rsidP="007879D0">
      <w:pPr>
        <w:rPr>
          <w:b/>
        </w:rPr>
      </w:pPr>
      <w:r>
        <w:rPr>
          <w:b/>
        </w:rPr>
        <w:t>IND = 100 (</w:t>
      </w:r>
      <w:r w:rsidR="007879D0">
        <w:rPr>
          <w:b/>
        </w:rPr>
        <w:t>0,94</w:t>
      </w:r>
      <w:r w:rsidR="007879D0" w:rsidRPr="002D5A40">
        <w:rPr>
          <w:b/>
        </w:rPr>
        <w:t xml:space="preserve"> / </w:t>
      </w:r>
      <w:r w:rsidR="007879D0">
        <w:rPr>
          <w:b/>
        </w:rPr>
        <w:t>4</w:t>
      </w:r>
      <w:r w:rsidR="007879D0" w:rsidRPr="002D5A40">
        <w:rPr>
          <w:b/>
        </w:rPr>
        <w:t>,</w:t>
      </w:r>
      <w:r w:rsidR="007879D0">
        <w:rPr>
          <w:b/>
        </w:rPr>
        <w:t>19</w:t>
      </w:r>
      <w:r w:rsidR="007879D0" w:rsidRPr="002D5A40">
        <w:rPr>
          <w:b/>
        </w:rPr>
        <w:t xml:space="preserve">) = </w:t>
      </w:r>
      <w:r w:rsidR="007879D0">
        <w:rPr>
          <w:b/>
        </w:rPr>
        <w:t>22</w:t>
      </w:r>
      <w:r w:rsidR="007879D0" w:rsidRPr="002D5A40">
        <w:rPr>
          <w:b/>
        </w:rPr>
        <w:t>,</w:t>
      </w:r>
      <w:r w:rsidR="007879D0">
        <w:rPr>
          <w:b/>
        </w:rPr>
        <w:t>4</w:t>
      </w:r>
      <w:r w:rsidR="004261E3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Podíl snížení emisí oxidu siřičitého (SO</w:t>
      </w:r>
      <w:r w:rsidRPr="002D5A40">
        <w:rPr>
          <w:b/>
          <w:vertAlign w:val="subscript"/>
        </w:rPr>
        <w:t>2</w:t>
      </w:r>
      <w:r w:rsidRPr="002D5A40">
        <w:rPr>
          <w:b/>
        </w:rPr>
        <w:t>) ze stacionárních zdrojů</w:t>
      </w:r>
      <w:r w:rsidR="000455A1">
        <w:rPr>
          <w:b/>
        </w:rPr>
        <w:t xml:space="preserve"> znečišťování ovzduší </w:t>
      </w:r>
      <w:r w:rsidRPr="002D5A40">
        <w:rPr>
          <w:b/>
        </w:rPr>
        <w:t>dosaženého prostřednictvím intervencí OP</w:t>
      </w:r>
      <w:r w:rsidR="004F66F9">
        <w:rPr>
          <w:b/>
        </w:rPr>
        <w:t xml:space="preserve"> </w:t>
      </w:r>
      <w:r w:rsidRPr="002D5A40">
        <w:rPr>
          <w:b/>
        </w:rPr>
        <w:t>ŽP na celkovém snížení emisí SO</w:t>
      </w:r>
      <w:r w:rsidRPr="002D5A40">
        <w:rPr>
          <w:b/>
          <w:vertAlign w:val="subscript"/>
        </w:rPr>
        <w:t>2</w:t>
      </w:r>
      <w:r w:rsidRPr="002D5A40">
        <w:rPr>
          <w:b/>
        </w:rPr>
        <w:t xml:space="preserve"> ze stacionárních zdrojů (dosavadní kategorie REZZO 1, REZZO 2 a REZZO 3) v ČR v období 2007 – 201</w:t>
      </w:r>
      <w:r>
        <w:rPr>
          <w:b/>
        </w:rPr>
        <w:t>3</w:t>
      </w:r>
      <w:r w:rsidRPr="002D5A40">
        <w:rPr>
          <w:b/>
        </w:rPr>
        <w:t xml:space="preserve"> je </w:t>
      </w:r>
      <w:r>
        <w:rPr>
          <w:b/>
        </w:rPr>
        <w:t>nezanedbatelný</w:t>
      </w:r>
      <w:r w:rsidRPr="002D5A40">
        <w:rPr>
          <w:b/>
        </w:rPr>
        <w:t xml:space="preserve"> (1,</w:t>
      </w:r>
      <w:r>
        <w:rPr>
          <w:b/>
        </w:rPr>
        <w:t>2</w:t>
      </w:r>
      <w:r w:rsidRPr="002D5A40">
        <w:rPr>
          <w:b/>
        </w:rPr>
        <w:t xml:space="preserve"> %).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Podíl snížení emisí oxidu siřičitého (SO</w:t>
      </w:r>
      <w:r w:rsidRPr="002D5A40">
        <w:rPr>
          <w:b/>
          <w:vertAlign w:val="subscript"/>
        </w:rPr>
        <w:t>2</w:t>
      </w:r>
      <w:r w:rsidRPr="002D5A40">
        <w:rPr>
          <w:b/>
        </w:rPr>
        <w:t>)</w:t>
      </w:r>
      <w:r w:rsidRPr="002D5A40">
        <w:rPr>
          <w:b/>
          <w:sz w:val="24"/>
          <w:szCs w:val="24"/>
          <w:vertAlign w:val="subscript"/>
        </w:rPr>
        <w:t xml:space="preserve"> </w:t>
      </w:r>
      <w:r w:rsidRPr="002D5A40">
        <w:rPr>
          <w:b/>
        </w:rPr>
        <w:t>ze stacionárních zdrojů znečišťování ovzduší dosaženého prostřednictvím intervencí OP</w:t>
      </w:r>
      <w:r w:rsidR="004F66F9">
        <w:rPr>
          <w:b/>
        </w:rPr>
        <w:t xml:space="preserve"> </w:t>
      </w:r>
      <w:r w:rsidRPr="002D5A40">
        <w:rPr>
          <w:b/>
        </w:rPr>
        <w:t>ŽP na celkovém snížení emisí SO</w:t>
      </w:r>
      <w:r w:rsidRPr="002D5A40">
        <w:rPr>
          <w:b/>
          <w:vertAlign w:val="subscript"/>
        </w:rPr>
        <w:t>2</w:t>
      </w:r>
      <w:r w:rsidRPr="002D5A40">
        <w:rPr>
          <w:b/>
        </w:rPr>
        <w:t xml:space="preserve"> z malých stacionárních zdrojů (dosavadní kategorie REZZO 3) v ČR v období 2007 – 201</w:t>
      </w:r>
      <w:r>
        <w:rPr>
          <w:b/>
        </w:rPr>
        <w:t>3</w:t>
      </w:r>
      <w:r w:rsidRPr="002D5A40">
        <w:rPr>
          <w:b/>
        </w:rPr>
        <w:t xml:space="preserve"> je významný (</w:t>
      </w:r>
      <w:r>
        <w:rPr>
          <w:b/>
        </w:rPr>
        <w:t>22,4</w:t>
      </w:r>
      <w:r w:rsidRPr="002D5A40">
        <w:rPr>
          <w:b/>
        </w:rPr>
        <w:t xml:space="preserve"> %).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>Výroční zprávy OP</w:t>
      </w:r>
      <w:r w:rsidR="004F66F9">
        <w:t xml:space="preserve"> </w:t>
      </w:r>
      <w:r w:rsidRPr="002D5A40">
        <w:t xml:space="preserve">ŽP: </w:t>
      </w:r>
      <w:hyperlink r:id="rId48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Ročenky znečištění ovzduší na území ČR: </w:t>
      </w:r>
      <w:hyperlink r:id="rId49" w:history="1">
        <w:r w:rsidRPr="002D5A40">
          <w:rPr>
            <w:rStyle w:val="Hypertextovodkaz"/>
          </w:rPr>
          <w:t>http://portal.chmi.cz/files/portal/docs/uoco/isko/grafroc/grafroc_CZ.html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Emisní bilance ČR: </w:t>
      </w:r>
      <w:hyperlink r:id="rId50" w:history="1">
        <w:r w:rsidRPr="002D5A40">
          <w:rPr>
            <w:rStyle w:val="Hypertextovodkaz"/>
          </w:rPr>
          <w:t>http://portal.chmi.cz/files/portal/docs/uoco/oez/emisnibilance_CZ.html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51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  <w:color w:val="FF0000"/>
          <w:sz w:val="28"/>
          <w:szCs w:val="28"/>
        </w:rPr>
      </w:pPr>
      <w:r w:rsidRPr="002D5A40">
        <w:rPr>
          <w:rStyle w:val="Hypertextovodkaz"/>
          <w:color w:val="FF0000"/>
          <w:sz w:val="28"/>
          <w:szCs w:val="28"/>
        </w:rPr>
        <w:br w:type="page"/>
      </w:r>
    </w:p>
    <w:p w:rsidR="007879D0" w:rsidRPr="002D5A40" w:rsidRDefault="007879D0" w:rsidP="00FC7D3E">
      <w:pPr>
        <w:pStyle w:val="Nadpis4"/>
      </w:pPr>
      <w:bookmarkStart w:id="34" w:name="_Toc404179437"/>
      <w:r w:rsidRPr="002D5A40">
        <w:lastRenderedPageBreak/>
        <w:t>Snížení emisí NO</w:t>
      </w:r>
      <w:r w:rsidRPr="002D5A40">
        <w:rPr>
          <w:vertAlign w:val="subscript"/>
        </w:rPr>
        <w:t>X</w:t>
      </w:r>
      <w:r w:rsidRPr="002D5A40">
        <w:t xml:space="preserve"> ze stacionárních zdrojů</w:t>
      </w:r>
      <w:bookmarkEnd w:id="34"/>
    </w:p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4F66F9">
        <w:t>je dopad intervencí OP ŽP 2007-</w:t>
      </w:r>
      <w:r w:rsidRPr="002D5A40">
        <w:t>2013 na celkové snížení emisí oxidů dusíku ze stacionárních zdrojů znečišťování ovzduší v ČR.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emisí oxidů dusíku (NO</w:t>
      </w:r>
      <w:r w:rsidRPr="002D5A40">
        <w:rPr>
          <w:vertAlign w:val="subscript"/>
        </w:rPr>
        <w:t>X</w:t>
      </w:r>
      <w:r w:rsidRPr="002D5A40">
        <w:t>)</w:t>
      </w:r>
      <w:r w:rsidRPr="002D5A40">
        <w:rPr>
          <w:sz w:val="24"/>
          <w:szCs w:val="24"/>
          <w:vertAlign w:val="subscript"/>
        </w:rPr>
        <w:t xml:space="preserve"> </w:t>
      </w:r>
      <w:r w:rsidRPr="002D5A40">
        <w:t>ze stacionárních zdrojů znečišťování ovzduší (dosavadní kategorie REZZO 1, REZZO 2 a REZZO 3) dosaženého prostř</w:t>
      </w:r>
      <w:r w:rsidR="004F66F9">
        <w:t>ednictvím intervencí OP ŽP na </w:t>
      </w:r>
      <w:r w:rsidRPr="002D5A40">
        <w:t>celkovém snížení emisí NO</w:t>
      </w:r>
      <w:r w:rsidRPr="002D5A40">
        <w:rPr>
          <w:vertAlign w:val="subscript"/>
        </w:rPr>
        <w:t>X</w:t>
      </w:r>
      <w:r w:rsidRPr="002D5A40">
        <w:t xml:space="preserve"> ze stacionárníc</w:t>
      </w:r>
      <w:r w:rsidR="004261E3">
        <w:t xml:space="preserve">h zdrojů v ČR v  daném časovém </w:t>
      </w:r>
      <w:r w:rsidRPr="002D5A40">
        <w:t>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emisí v daném časovém období dosaž</w:t>
      </w:r>
      <w:r w:rsidR="000455A1">
        <w:t>ené za podpory OP</w:t>
      </w:r>
      <w:r w:rsidR="004F66F9">
        <w:t xml:space="preserve"> ŽP 2007-</w:t>
      </w:r>
      <w:r w:rsidR="000455A1">
        <w:t>2013</w:t>
      </w:r>
      <w:r w:rsidR="004261E3">
        <w:t xml:space="preserve"> a </w:t>
      </w:r>
      <w:r w:rsidRPr="002D5A40">
        <w:t>X</w:t>
      </w:r>
      <w:r w:rsidRPr="002D5A40">
        <w:rPr>
          <w:vertAlign w:val="subscript"/>
        </w:rPr>
        <w:t>celk</w:t>
      </w:r>
      <w:r w:rsidRPr="002D5A40">
        <w:t xml:space="preserve"> je celkové snížení emisí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Podíl snížení emisí oxidů dusíku (NO</w:t>
      </w:r>
      <w:r w:rsidRPr="002D5A40">
        <w:rPr>
          <w:vertAlign w:val="subscript"/>
        </w:rPr>
        <w:t>X</w:t>
      </w:r>
      <w:r w:rsidRPr="002D5A40">
        <w:t>)</w:t>
      </w:r>
      <w:r w:rsidRPr="002D5A40">
        <w:rPr>
          <w:sz w:val="24"/>
          <w:szCs w:val="24"/>
          <w:vertAlign w:val="subscript"/>
        </w:rPr>
        <w:t xml:space="preserve"> </w:t>
      </w:r>
      <w:r w:rsidRPr="002D5A40">
        <w:t>z malých stacionárních zdrojů znečišťování ovzduší (dosavadní kategorie REZZO 3) dosaženého prostřednictvím intervencí OP</w:t>
      </w:r>
      <w:r w:rsidR="004F66F9">
        <w:t xml:space="preserve"> </w:t>
      </w:r>
      <w:r w:rsidRPr="002D5A40">
        <w:t>ŽP na celkovém snížení emisí NO</w:t>
      </w:r>
      <w:r w:rsidRPr="002D5A40">
        <w:rPr>
          <w:vertAlign w:val="subscript"/>
        </w:rPr>
        <w:t>X</w:t>
      </w:r>
      <w:r w:rsidRPr="002D5A40">
        <w:t xml:space="preserve"> z malých stacionární</w:t>
      </w:r>
      <w:r w:rsidR="000455A1">
        <w:t>ch zdrojů v ČR v  daném časovém</w:t>
      </w:r>
      <w:r w:rsidRPr="002D5A40">
        <w:t xml:space="preserve">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týkající se intervencí OP</w:t>
      </w:r>
      <w:r w:rsidR="004F66F9">
        <w:t xml:space="preserve"> ŽP 2007-</w:t>
      </w:r>
      <w:r w:rsidRPr="002D5A40">
        <w:t>2013 jsou k dispozi</w:t>
      </w:r>
      <w:r w:rsidR="004261E3">
        <w:t>ci v Informačním systému SFŽP a </w:t>
      </w:r>
      <w:r>
        <w:t>částečně</w:t>
      </w:r>
      <w:r w:rsidRPr="002D5A40">
        <w:t xml:space="preserve"> ve výročních zprávách OP</w:t>
      </w:r>
      <w:r w:rsidR="004F66F9">
        <w:t xml:space="preserve"> </w:t>
      </w:r>
      <w:r w:rsidRPr="002D5A40">
        <w:t>ŽP.</w:t>
      </w:r>
    </w:p>
    <w:p w:rsidR="007879D0" w:rsidRPr="002D5A40" w:rsidRDefault="007879D0" w:rsidP="007879D0">
      <w:r w:rsidRPr="002D5A40">
        <w:t xml:space="preserve">Data na národní úrovni jsou k dispozici např. v ročenkách Znečištění ovzduší na území ČR, vydávaných Českým hydrometeorologickým ústavem a také ve Statistických ročenkách – Životní 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4261E3" w:rsidRDefault="007879D0" w:rsidP="007879D0">
      <w:r w:rsidRPr="002D5A40">
        <w:t>n + 1 (data za příslušný rok n jsou k dispozici nejpozději do konce roku následujícího).</w:t>
      </w:r>
    </w:p>
    <w:p w:rsidR="004261E3" w:rsidRDefault="004261E3" w:rsidP="007879D0"/>
    <w:p w:rsidR="004261E3" w:rsidRPr="002D5A40" w:rsidRDefault="004261E3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Nejistota</w:t>
      </w:r>
    </w:p>
    <w:p w:rsidR="007879D0" w:rsidRPr="002D5A40" w:rsidRDefault="007879D0" w:rsidP="007879D0">
      <w:r w:rsidRPr="002D5A40">
        <w:t>Systémová nejistota je dána metodikou přípravy národní emisní bilance, kdy jsou emise z velkých a středních stacionárních zdrojů znečišťování ovzduší zjišťovány kontinuálním či periodickým měřením zatímco emise z malých stacionárních zdrojů jsou obvykle odhadová</w:t>
      </w:r>
      <w:r w:rsidR="000455A1">
        <w:t>ny výpočtem. Z analýzy zdrojové</w:t>
      </w:r>
      <w:r w:rsidRPr="002D5A40">
        <w:t xml:space="preserve"> struktury emisí (poměr měřených emisí z bodových zdrojů a emisí ze zdrojů difuzních) vyplývá, že vyšší míru přesnosti emisních dat lze očekávat v případě emisí oxidu siřičitého a oxidů dusíku, vyšší míru nejistoty je nutno očekávat v případě tuhých znečišťujících látek, těkavých organických látek a zejména amoniaku. </w:t>
      </w:r>
    </w:p>
    <w:p w:rsidR="007879D0" w:rsidRPr="002D5A40" w:rsidRDefault="007879D0" w:rsidP="007879D0">
      <w:r w:rsidRPr="002D5A40">
        <w:t>Emise ze spalovacích stacionárních zdrojů znečišťován</w:t>
      </w:r>
      <w:r w:rsidR="004261E3">
        <w:t>í ovzduší jsou navíc závislé na </w:t>
      </w:r>
      <w:r w:rsidRPr="002D5A40">
        <w:t>meteorologických parametrech (délka a teplotní charakter topné sezóny), což může dokonce vést k meziročnímu zvýšení národních emisí (zejména v případě TZL, SO</w:t>
      </w:r>
      <w:r w:rsidRPr="002D5A40">
        <w:rPr>
          <w:vertAlign w:val="subscript"/>
        </w:rPr>
        <w:t>2</w:t>
      </w:r>
      <w:r w:rsidRPr="002D5A40">
        <w:t xml:space="preserve"> a částečně NO</w:t>
      </w:r>
      <w:r w:rsidRPr="002D5A40">
        <w:rPr>
          <w:vertAlign w:val="subscript"/>
        </w:rPr>
        <w:t>X</w:t>
      </w:r>
      <w:r>
        <w:t xml:space="preserve"> a VOC)</w:t>
      </w:r>
      <w:r w:rsidRPr="002D5A40">
        <w:t>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ČR 2007 – 2013 – Emise NO</w:t>
      </w:r>
      <w:r w:rsidRPr="00FC7D3E">
        <w:rPr>
          <w:b/>
          <w:i/>
          <w:color w:val="76923C" w:themeColor="accent3" w:themeShade="BF"/>
          <w:vertAlign w:val="subscript"/>
        </w:rPr>
        <w:t>X</w:t>
      </w:r>
      <w:r w:rsidRPr="00FC7D3E">
        <w:rPr>
          <w:b/>
          <w:i/>
          <w:color w:val="76923C" w:themeColor="accent3" w:themeShade="BF"/>
        </w:rPr>
        <w:t xml:space="preserve"> ze stacionárních zdrojů (REZZO 1, REZZO 2, 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ze stacionárních zdrojů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155,4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129,8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130,4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131,3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120,9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113,5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103,1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(-25,6)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0,6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0,9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(-10,4)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(-7,4)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(-10,4)</w:t>
            </w: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(- 41,9)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5164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(-52,3)</w:t>
            </w:r>
          </w:p>
        </w:tc>
      </w:tr>
    </w:tbl>
    <w:p w:rsidR="007879D0" w:rsidRPr="002D5A40" w:rsidRDefault="007879D0" w:rsidP="007879D0"/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 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5164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Snížení emisí ze stacionárních zdrojů za podpory OP</w:t>
            </w:r>
            <w:r w:rsidR="004F66F9">
              <w:rPr>
                <w:sz w:val="18"/>
                <w:szCs w:val="18"/>
              </w:rPr>
              <w:t xml:space="preserve"> </w:t>
            </w:r>
            <w:r w:rsidRPr="002D5A40">
              <w:rPr>
                <w:sz w:val="18"/>
                <w:szCs w:val="18"/>
              </w:rPr>
              <w:t>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0,903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0,9</w:t>
            </w:r>
            <w:r>
              <w:rPr>
                <w:sz w:val="18"/>
                <w:szCs w:val="18"/>
              </w:rPr>
              <w:t>12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Pr="002D5A40" w:rsidRDefault="005164E3" w:rsidP="007879D0">
      <w:pPr>
        <w:rPr>
          <w:b/>
        </w:rPr>
      </w:pPr>
      <w:r>
        <w:rPr>
          <w:b/>
        </w:rPr>
        <w:t>IND = 100 (0,903 / 41,9</w:t>
      </w:r>
      <w:r w:rsidR="007879D0" w:rsidRPr="002D5A40">
        <w:rPr>
          <w:b/>
        </w:rPr>
        <w:t>) = 2,2 %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</w:t>
      </w:r>
      <w:r w:rsidR="000455A1">
        <w:rPr>
          <w:b/>
          <w:i/>
          <w:color w:val="76923C" w:themeColor="accent3" w:themeShade="BF"/>
        </w:rPr>
        <w:t>3</w:t>
      </w:r>
    </w:p>
    <w:p w:rsidR="007879D0" w:rsidRPr="00FC7D3E" w:rsidRDefault="005164E3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>0,9</w:t>
      </w:r>
      <w:r w:rsidR="007879D0">
        <w:rPr>
          <w:b/>
        </w:rPr>
        <w:t>1</w:t>
      </w:r>
      <w:r w:rsidR="007879D0" w:rsidRPr="002D5A40">
        <w:rPr>
          <w:b/>
        </w:rPr>
        <w:t xml:space="preserve"> / </w:t>
      </w:r>
      <w:r w:rsidR="007879D0">
        <w:rPr>
          <w:b/>
        </w:rPr>
        <w:t>52</w:t>
      </w:r>
      <w:r w:rsidR="007879D0" w:rsidRPr="002D5A40">
        <w:rPr>
          <w:b/>
        </w:rPr>
        <w:t>,</w:t>
      </w:r>
      <w:r w:rsidR="007879D0">
        <w:rPr>
          <w:b/>
        </w:rPr>
        <w:t>3</w:t>
      </w:r>
      <w:r w:rsidR="007879D0" w:rsidRPr="002D5A40">
        <w:rPr>
          <w:b/>
        </w:rPr>
        <w:t xml:space="preserve">) = </w:t>
      </w:r>
      <w:r w:rsidR="007879D0">
        <w:rPr>
          <w:b/>
        </w:rPr>
        <w:t>1</w:t>
      </w:r>
      <w:r w:rsidR="007879D0" w:rsidRPr="002D5A40">
        <w:rPr>
          <w:b/>
        </w:rPr>
        <w:t>,</w:t>
      </w:r>
      <w:r w:rsidR="007879D0">
        <w:rPr>
          <w:b/>
        </w:rPr>
        <w:t>7</w:t>
      </w:r>
      <w:r w:rsidR="007879D0" w:rsidRPr="002D5A40">
        <w:rPr>
          <w:b/>
        </w:rPr>
        <w:t xml:space="preserve"> </w:t>
      </w:r>
      <w:r w:rsidR="000455A1">
        <w:rPr>
          <w:b/>
        </w:rPr>
        <w:t>%</w:t>
      </w:r>
    </w:p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2013 – Emise NO</w:t>
      </w:r>
      <w:r w:rsidR="007879D0" w:rsidRPr="00FC7D3E">
        <w:rPr>
          <w:b/>
          <w:i/>
          <w:color w:val="76923C" w:themeColor="accent3" w:themeShade="BF"/>
          <w:vertAlign w:val="subscript"/>
        </w:rPr>
        <w:t>X</w:t>
      </w:r>
      <w:r w:rsidR="007879D0" w:rsidRPr="00FC7D3E">
        <w:rPr>
          <w:b/>
          <w:i/>
          <w:color w:val="76923C" w:themeColor="accent3" w:themeShade="BF"/>
        </w:rPr>
        <w:t xml:space="preserve"> z malých stacionárních zdrojů (REZZO 3)</w:t>
      </w:r>
    </w:p>
    <w:p w:rsidR="007879D0" w:rsidRDefault="007879D0" w:rsidP="007879D0">
      <w:r w:rsidRPr="002D5A40">
        <w:t>Žádoucí vývoj dat na národní úrovni je meziroční pokles, meziroční růst je vyznačen červenou barvou.</w:t>
      </w:r>
    </w:p>
    <w:p w:rsidR="004261E3" w:rsidRPr="002D5A40" w:rsidRDefault="004261E3" w:rsidP="007879D0"/>
    <w:tbl>
      <w:tblPr>
        <w:tblStyle w:val="Mkatabulky"/>
        <w:tblW w:w="8873" w:type="dxa"/>
        <w:tblLook w:val="04A0" w:firstRow="1" w:lastRow="0" w:firstColumn="1" w:lastColumn="0" w:noHBand="0" w:noVBand="1"/>
      </w:tblPr>
      <w:tblGrid>
        <w:gridCol w:w="2983"/>
        <w:gridCol w:w="899"/>
        <w:gridCol w:w="652"/>
        <w:gridCol w:w="791"/>
        <w:gridCol w:w="791"/>
        <w:gridCol w:w="652"/>
        <w:gridCol w:w="791"/>
        <w:gridCol w:w="626"/>
        <w:gridCol w:w="688"/>
      </w:tblGrid>
      <w:tr w:rsidR="007879D0" w:rsidRPr="002D5A40" w:rsidTr="003736AE">
        <w:tc>
          <w:tcPr>
            <w:tcW w:w="304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69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3736AE">
        <w:tc>
          <w:tcPr>
            <w:tcW w:w="304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 malých stacionárních zdrojů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62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9,647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6,340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6,258</w:t>
            </w:r>
          </w:p>
        </w:tc>
        <w:tc>
          <w:tcPr>
            <w:tcW w:w="62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7,264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6,387</w:t>
            </w:r>
          </w:p>
        </w:tc>
        <w:tc>
          <w:tcPr>
            <w:tcW w:w="62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7,</w:t>
            </w:r>
            <w:r>
              <w:rPr>
                <w:sz w:val="18"/>
                <w:szCs w:val="18"/>
              </w:rPr>
              <w:t>90</w:t>
            </w:r>
          </w:p>
        </w:tc>
        <w:tc>
          <w:tcPr>
            <w:tcW w:w="69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8,09</w:t>
            </w:r>
          </w:p>
        </w:tc>
      </w:tr>
      <w:tr w:rsidR="007879D0" w:rsidRPr="002D5A40" w:rsidTr="003736AE">
        <w:tc>
          <w:tcPr>
            <w:tcW w:w="304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62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(-3,307)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(-0,082)</w:t>
            </w:r>
          </w:p>
        </w:tc>
        <w:tc>
          <w:tcPr>
            <w:tcW w:w="62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1,006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(-0,877)</w:t>
            </w:r>
          </w:p>
        </w:tc>
        <w:tc>
          <w:tcPr>
            <w:tcW w:w="62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1.</w:t>
            </w:r>
            <w:r>
              <w:rPr>
                <w:color w:val="FF0000"/>
                <w:sz w:val="18"/>
                <w:szCs w:val="18"/>
              </w:rPr>
              <w:t>5</w:t>
            </w:r>
            <w:r w:rsidRPr="002D5A4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C02B3">
              <w:rPr>
                <w:color w:val="FF0000"/>
                <w:sz w:val="18"/>
                <w:szCs w:val="18"/>
              </w:rPr>
              <w:t>0,19</w:t>
            </w:r>
          </w:p>
        </w:tc>
      </w:tr>
      <w:tr w:rsidR="007879D0" w:rsidRPr="002D5A40" w:rsidTr="003736AE">
        <w:tc>
          <w:tcPr>
            <w:tcW w:w="304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260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 xml:space="preserve">(- </w:t>
            </w:r>
            <w:r>
              <w:rPr>
                <w:b/>
                <w:sz w:val="18"/>
                <w:szCs w:val="18"/>
              </w:rPr>
              <w:t>1</w:t>
            </w:r>
            <w:r w:rsidRPr="002D5A40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75</w:t>
            </w:r>
            <w:r w:rsidRPr="002D5A4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69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3736AE">
        <w:tc>
          <w:tcPr>
            <w:tcW w:w="304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951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(-1,56)</w:t>
            </w:r>
          </w:p>
        </w:tc>
      </w:tr>
    </w:tbl>
    <w:p w:rsidR="007879D0" w:rsidRPr="002D5A40" w:rsidRDefault="007879D0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odvozeného indikátoru k roku 2012</w:t>
      </w:r>
    </w:p>
    <w:p w:rsidR="007879D0" w:rsidRDefault="003736AE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 xml:space="preserve">0,903 / </w:t>
      </w:r>
      <w:r w:rsidR="007879D0">
        <w:rPr>
          <w:b/>
        </w:rPr>
        <w:t>1</w:t>
      </w:r>
      <w:r w:rsidR="007879D0" w:rsidRPr="002D5A40">
        <w:rPr>
          <w:b/>
        </w:rPr>
        <w:t>,</w:t>
      </w:r>
      <w:r w:rsidR="007879D0">
        <w:rPr>
          <w:b/>
        </w:rPr>
        <w:t>75</w:t>
      </w:r>
      <w:r w:rsidR="007879D0" w:rsidRPr="002D5A40">
        <w:rPr>
          <w:b/>
        </w:rPr>
        <w:t xml:space="preserve">) = </w:t>
      </w:r>
      <w:r w:rsidR="007879D0">
        <w:rPr>
          <w:b/>
        </w:rPr>
        <w:t>51</w:t>
      </w:r>
      <w:r w:rsidR="007879D0" w:rsidRPr="002D5A40">
        <w:rPr>
          <w:b/>
        </w:rPr>
        <w:t>,</w:t>
      </w:r>
      <w:r w:rsidR="007879D0">
        <w:rPr>
          <w:b/>
        </w:rPr>
        <w:t>6</w:t>
      </w:r>
      <w:r w:rsidR="007879D0" w:rsidRPr="002D5A40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odvozeného indikátoru k roku 2013</w:t>
      </w:r>
    </w:p>
    <w:p w:rsidR="007879D0" w:rsidRPr="002D5A40" w:rsidRDefault="003736AE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>0,9</w:t>
      </w:r>
      <w:r w:rsidR="007879D0">
        <w:rPr>
          <w:b/>
        </w:rPr>
        <w:t>12</w:t>
      </w:r>
      <w:r w:rsidR="007879D0" w:rsidRPr="002D5A40">
        <w:rPr>
          <w:b/>
        </w:rPr>
        <w:t xml:space="preserve"> / </w:t>
      </w:r>
      <w:r w:rsidR="007879D0">
        <w:rPr>
          <w:b/>
        </w:rPr>
        <w:t>1</w:t>
      </w:r>
      <w:r w:rsidR="007879D0" w:rsidRPr="002D5A40">
        <w:rPr>
          <w:b/>
        </w:rPr>
        <w:t>,</w:t>
      </w:r>
      <w:r w:rsidR="007879D0">
        <w:rPr>
          <w:b/>
        </w:rPr>
        <w:t>56</w:t>
      </w:r>
      <w:r w:rsidR="007879D0" w:rsidRPr="002D5A40">
        <w:rPr>
          <w:b/>
        </w:rPr>
        <w:t xml:space="preserve">) = </w:t>
      </w:r>
      <w:r w:rsidR="007879D0">
        <w:rPr>
          <w:b/>
        </w:rPr>
        <w:t>58</w:t>
      </w:r>
      <w:r w:rsidR="007879D0" w:rsidRPr="002D5A40">
        <w:rPr>
          <w:b/>
        </w:rPr>
        <w:t>,</w:t>
      </w:r>
      <w:r w:rsidR="007879D0">
        <w:rPr>
          <w:b/>
        </w:rPr>
        <w:t>5</w:t>
      </w:r>
      <w:r w:rsidR="000455A1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Podíl snížení emisí oxidů siřičitého (NO</w:t>
      </w:r>
      <w:r w:rsidRPr="002D5A40">
        <w:rPr>
          <w:b/>
          <w:vertAlign w:val="subscript"/>
        </w:rPr>
        <w:t>X</w:t>
      </w:r>
      <w:r w:rsidRPr="002D5A40">
        <w:rPr>
          <w:b/>
        </w:rPr>
        <w:t>) ze stacionární</w:t>
      </w:r>
      <w:r w:rsidR="003736AE">
        <w:rPr>
          <w:b/>
        </w:rPr>
        <w:t xml:space="preserve">ch zdrojů znečišťování ovzduší </w:t>
      </w:r>
      <w:r w:rsidRPr="002D5A40">
        <w:rPr>
          <w:b/>
        </w:rPr>
        <w:t>dosaženého prostřednictvím intervencí OP</w:t>
      </w:r>
      <w:r w:rsidR="004F66F9">
        <w:rPr>
          <w:b/>
        </w:rPr>
        <w:t xml:space="preserve"> </w:t>
      </w:r>
      <w:r w:rsidRPr="002D5A40">
        <w:rPr>
          <w:b/>
        </w:rPr>
        <w:t>ŽP na celkovém snížení emisí NO</w:t>
      </w:r>
      <w:r w:rsidRPr="002D5A40">
        <w:rPr>
          <w:b/>
          <w:vertAlign w:val="subscript"/>
        </w:rPr>
        <w:t>X</w:t>
      </w:r>
      <w:r w:rsidRPr="002D5A40">
        <w:rPr>
          <w:b/>
        </w:rPr>
        <w:t xml:space="preserve"> ze stacionárních zdrojů (dosavadní kategorie REZZO 1, REZZO 2 a REZZO 3) v ČR v období 2007 – 2012 je n</w:t>
      </w:r>
      <w:r>
        <w:rPr>
          <w:b/>
        </w:rPr>
        <w:t>ezanedbateln</w:t>
      </w:r>
      <w:r w:rsidRPr="002D5A40">
        <w:rPr>
          <w:b/>
        </w:rPr>
        <w:t>ý (</w:t>
      </w:r>
      <w:r>
        <w:rPr>
          <w:b/>
        </w:rPr>
        <w:t xml:space="preserve">cca </w:t>
      </w:r>
      <w:r w:rsidRPr="002D5A40">
        <w:rPr>
          <w:b/>
        </w:rPr>
        <w:t>2 %).</w:t>
      </w:r>
    </w:p>
    <w:p w:rsidR="007879D0" w:rsidRPr="004261E3" w:rsidRDefault="007879D0" w:rsidP="007879D0">
      <w:pPr>
        <w:rPr>
          <w:b/>
        </w:rPr>
      </w:pPr>
      <w:r w:rsidRPr="002D5A40">
        <w:rPr>
          <w:b/>
        </w:rPr>
        <w:t>Podíl snížení emisí oxidů dusíku (NO</w:t>
      </w:r>
      <w:r w:rsidRPr="002D5A40">
        <w:rPr>
          <w:b/>
          <w:vertAlign w:val="subscript"/>
        </w:rPr>
        <w:t>X</w:t>
      </w:r>
      <w:r w:rsidRPr="002D5A40">
        <w:rPr>
          <w:b/>
        </w:rPr>
        <w:t>) ze stacionárních zdrojů znečišťování ovzduší dosaženého prostřednictvím intervencí OP</w:t>
      </w:r>
      <w:r w:rsidR="004F66F9">
        <w:rPr>
          <w:b/>
        </w:rPr>
        <w:t xml:space="preserve"> </w:t>
      </w:r>
      <w:r w:rsidRPr="002D5A40">
        <w:rPr>
          <w:b/>
        </w:rPr>
        <w:t>ŽP na celkovém snížení emisí NO</w:t>
      </w:r>
      <w:r w:rsidRPr="002D5A40">
        <w:rPr>
          <w:b/>
          <w:vertAlign w:val="subscript"/>
        </w:rPr>
        <w:t>X</w:t>
      </w:r>
      <w:r w:rsidRPr="002D5A40">
        <w:rPr>
          <w:b/>
        </w:rPr>
        <w:t xml:space="preserve"> z malých stacionárních zdrojů (dosavadní kategori</w:t>
      </w:r>
      <w:r w:rsidR="004F66F9">
        <w:rPr>
          <w:b/>
        </w:rPr>
        <w:t>e REZZO 3) v ČR v období 2007-</w:t>
      </w:r>
      <w:r w:rsidRPr="002D5A40">
        <w:rPr>
          <w:b/>
        </w:rPr>
        <w:t>201</w:t>
      </w:r>
      <w:r>
        <w:rPr>
          <w:b/>
        </w:rPr>
        <w:t>3</w:t>
      </w:r>
      <w:r w:rsidRPr="002D5A40">
        <w:rPr>
          <w:b/>
        </w:rPr>
        <w:t xml:space="preserve"> je </w:t>
      </w:r>
      <w:r>
        <w:rPr>
          <w:b/>
        </w:rPr>
        <w:t>rozhodující</w:t>
      </w:r>
      <w:r w:rsidRPr="002D5A40">
        <w:rPr>
          <w:b/>
        </w:rPr>
        <w:t xml:space="preserve"> (</w:t>
      </w:r>
      <w:r>
        <w:rPr>
          <w:b/>
        </w:rPr>
        <w:t>58</w:t>
      </w:r>
      <w:r w:rsidRPr="002D5A40">
        <w:rPr>
          <w:b/>
        </w:rPr>
        <w:t>,</w:t>
      </w:r>
      <w:r>
        <w:rPr>
          <w:b/>
        </w:rPr>
        <w:t>5</w:t>
      </w:r>
      <w:r w:rsidR="004261E3">
        <w:rPr>
          <w:b/>
        </w:rPr>
        <w:t xml:space="preserve"> %).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>Výroční zprávy OP</w:t>
      </w:r>
      <w:r w:rsidR="004F66F9">
        <w:t xml:space="preserve"> </w:t>
      </w:r>
      <w:r w:rsidRPr="002D5A40">
        <w:t xml:space="preserve">ŽP: </w:t>
      </w:r>
      <w:hyperlink r:id="rId52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Ročenky znečištění ovzduší na území ČR: </w:t>
      </w:r>
      <w:hyperlink r:id="rId53" w:history="1">
        <w:r w:rsidRPr="002D5A40">
          <w:rPr>
            <w:rStyle w:val="Hypertextovodkaz"/>
          </w:rPr>
          <w:t>http://portal.chmi.cz/files/portal/docs/uoco/isko/grafroc/grafroc_CZ.html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Emisní bilance ČR: </w:t>
      </w:r>
      <w:hyperlink r:id="rId54" w:history="1">
        <w:r w:rsidRPr="002D5A40">
          <w:rPr>
            <w:rStyle w:val="Hypertextovodkaz"/>
          </w:rPr>
          <w:t>http://portal.chmi.cz/files/portal/docs/uoco/oez/emisnibilance_CZ.html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55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2D5A40" w:rsidRDefault="007879D0" w:rsidP="00FC7D3E">
      <w:pPr>
        <w:pStyle w:val="Nadpis4"/>
      </w:pPr>
      <w:bookmarkStart w:id="35" w:name="_Toc404179438"/>
      <w:r w:rsidRPr="002D5A40">
        <w:lastRenderedPageBreak/>
        <w:t>Snížení emisí VOC ze stacionárních zdrojů</w:t>
      </w:r>
      <w:bookmarkEnd w:id="35"/>
    </w:p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4F66F9">
        <w:t>je dopad intervencí OP ŽP 2007-</w:t>
      </w:r>
      <w:r w:rsidRPr="002D5A40">
        <w:t>2013 na celkové snížení emisí těkavých organických látek ze stacionárních zdrojů znečišťování ovzduší v ČR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emisí těkavých organických látek (VOC) ze stacionárních zdrojů znečišťování ovzduší (dosavadní kategorie REZZO 1, REZZO 2 a REZZO 3) dosaženého prostřednictvím intervencí OP</w:t>
      </w:r>
      <w:r w:rsidR="004F66F9">
        <w:t xml:space="preserve"> </w:t>
      </w:r>
      <w:r w:rsidRPr="002D5A40">
        <w:t>ŽP na celkovém snížení emisí VOC ze stacionárníc</w:t>
      </w:r>
      <w:r w:rsidR="003736AE">
        <w:t xml:space="preserve">h zdrojů v ČR v  daném časovém </w:t>
      </w:r>
      <w:r w:rsidRPr="002D5A40">
        <w:t>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de X</w:t>
      </w:r>
      <w:r w:rsidRPr="002D5A40">
        <w:rPr>
          <w:vertAlign w:val="subscript"/>
        </w:rPr>
        <w:t>OPZP</w:t>
      </w:r>
      <w:r w:rsidRPr="002D5A40">
        <w:t xml:space="preserve"> je snížení emisí v daném časovém období dosažené za podpory OP</w:t>
      </w:r>
      <w:r w:rsidR="00C51EE8">
        <w:t xml:space="preserve"> </w:t>
      </w:r>
      <w:r w:rsidRPr="002D5A40">
        <w:t xml:space="preserve">ŽP </w:t>
      </w:r>
      <w:r w:rsidR="004F66F9">
        <w:t>2007-</w:t>
      </w:r>
      <w:r w:rsidR="000455A1">
        <w:t>2013</w:t>
      </w:r>
      <w:r w:rsidRPr="002D5A40">
        <w:t xml:space="preserve"> a X</w:t>
      </w:r>
      <w:r w:rsidRPr="002D5A40">
        <w:rPr>
          <w:vertAlign w:val="subscript"/>
        </w:rPr>
        <w:t>celk</w:t>
      </w:r>
      <w:r w:rsidRPr="002D5A40">
        <w:t xml:space="preserve"> je celkové snížení emisí v ČR v daném časovém 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Podíl snížení emisí těkavých organických látek (VOC)</w:t>
      </w:r>
      <w:r w:rsidRPr="002D5A40">
        <w:rPr>
          <w:sz w:val="24"/>
          <w:szCs w:val="24"/>
          <w:vertAlign w:val="subscript"/>
        </w:rPr>
        <w:t xml:space="preserve"> </w:t>
      </w:r>
      <w:r w:rsidRPr="002D5A40">
        <w:t>z malých stacionárních zdrojů znečišťování ovzduší (dosavadní kategorie REZZO 3) dosaženého prostřednictvím intervencí OPŽP na celkovém snížení emisí VOC z malých stacionárníc</w:t>
      </w:r>
      <w:r w:rsidR="000455A1">
        <w:t xml:space="preserve">h zdrojů v ČR v  daném časovém </w:t>
      </w:r>
      <w:r w:rsidRPr="002D5A40">
        <w:t>období.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4F66F9">
        <w:t>ající se intervencí OP</w:t>
      </w:r>
      <w:r w:rsidR="00C51EE8">
        <w:t xml:space="preserve"> </w:t>
      </w:r>
      <w:r w:rsidR="004F66F9">
        <w:t>ŽP 2007-</w:t>
      </w:r>
      <w:r w:rsidRPr="002D5A40">
        <w:t>2013 jsou k dispozi</w:t>
      </w:r>
      <w:r w:rsidR="004261E3">
        <w:t>ci v Informačním systému SFŽP a </w:t>
      </w:r>
      <w:r>
        <w:t>částečně</w:t>
      </w:r>
      <w:r w:rsidRPr="002D5A40">
        <w:t xml:space="preserve"> ve výročních zprávách OPŽP.</w:t>
      </w:r>
    </w:p>
    <w:p w:rsidR="007879D0" w:rsidRPr="002D5A40" w:rsidRDefault="007879D0" w:rsidP="007879D0">
      <w:r w:rsidRPr="002D5A40">
        <w:t xml:space="preserve">Data na národní úrovni jsou k dispozici např. v ročenkách Znečištění ovzduší na území ČR, vydávaných Českým hydrometeorologickým ústavem a také ve Statistických ročenkách – Životní prostředí, vydávaných Ministerstvem životního prostředí ve spolupráci s Českým statistickým úřadem.  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Časová dostupnost dat</w:t>
      </w:r>
    </w:p>
    <w:p w:rsidR="007879D0" w:rsidRDefault="007879D0" w:rsidP="007879D0">
      <w:r w:rsidRPr="002D5A40">
        <w:t>n + 1 (data za příslušný rok n jsou k dispozici nejpozději do konce roku následujícího).</w:t>
      </w:r>
    </w:p>
    <w:p w:rsidR="004261E3" w:rsidRPr="002D5A40" w:rsidRDefault="004261E3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lastRenderedPageBreak/>
        <w:t>Nejistota</w:t>
      </w:r>
    </w:p>
    <w:p w:rsidR="007879D0" w:rsidRPr="002D5A40" w:rsidRDefault="007879D0" w:rsidP="007879D0">
      <w:r w:rsidRPr="002D5A40">
        <w:t>Systémová nejistota je dána metodikou přípravy národní emisní bilance, kdy jsou emise z velkých a středních stacionárních zdrojů znečišťování ovzduší zjišťovány kontinuálním či periodickým měřením zatímco emise z malých stacionárních zdrojů jsou obvykle odhadová</w:t>
      </w:r>
      <w:r w:rsidR="000455A1">
        <w:t>ny výpočtem. Z analýzy zdrojové</w:t>
      </w:r>
      <w:r w:rsidRPr="002D5A40">
        <w:t xml:space="preserve"> struktury emisí (poměr měřených emisí z bodových zdrojů a emisí ze zdrojů difuzních) vyplývá, že vyšší míru přesnosti emisních dat lze očekávat v případě emisí oxidu siřičitého a oxidů dusíku, vyšší míru nejistoty je nutno očekávat v případě tuhých znečišťujících látek, těkavých organických látek a zejména amoniaku. </w:t>
      </w:r>
    </w:p>
    <w:p w:rsidR="007879D0" w:rsidRPr="002D5A40" w:rsidRDefault="007879D0" w:rsidP="007879D0">
      <w:r w:rsidRPr="002D5A40">
        <w:t>Emise ze spalovacích stacionárních zdrojů znečišťování ovzduší jsou navíc závislé na meteorologických parametrech (délka a teplotní charakter topné sezóny), což může dokonce vést k meziročnímu zvýšení národních emisí (zejména v případě TZL, SO</w:t>
      </w:r>
      <w:r w:rsidRPr="002D5A40">
        <w:rPr>
          <w:vertAlign w:val="subscript"/>
        </w:rPr>
        <w:t>2</w:t>
      </w:r>
      <w:r w:rsidRPr="002D5A40">
        <w:t xml:space="preserve"> a částečně NO</w:t>
      </w:r>
      <w:r w:rsidRPr="002D5A40">
        <w:rPr>
          <w:vertAlign w:val="subscript"/>
        </w:rPr>
        <w:t>X</w:t>
      </w:r>
      <w:r>
        <w:t xml:space="preserve"> a VOC)</w:t>
      </w:r>
      <w:r w:rsidRPr="002D5A40">
        <w:t>.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Data ČR 2007 – 2013 – Emise VOC ze stacionárních zdrojů (REZZO 1, REZZO 2, 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ze stacionárních zdrojů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120,4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117,7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114,9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115,0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107,3</w:t>
            </w: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(-2,7)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(-2,8)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0,1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(-4,3)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345C54">
              <w:rPr>
                <w:color w:val="FF0000"/>
                <w:sz w:val="18"/>
                <w:szCs w:val="18"/>
              </w:rPr>
              <w:t>10,7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(-4,1)</w:t>
            </w: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 xml:space="preserve">(- </w:t>
            </w:r>
            <w:r>
              <w:rPr>
                <w:b/>
                <w:sz w:val="18"/>
                <w:szCs w:val="18"/>
              </w:rPr>
              <w:t>9,3</w:t>
            </w:r>
            <w:r w:rsidRPr="002D5A4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(-13,1)</w:t>
            </w:r>
          </w:p>
        </w:tc>
      </w:tr>
    </w:tbl>
    <w:p w:rsidR="007879D0" w:rsidRPr="002D5A40" w:rsidRDefault="007879D0" w:rsidP="007879D0"/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FC7D3E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3736AE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3736AE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Snížení emisí ze stacionárních zdrojů za podpory OPŽP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0,062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190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2012</w:t>
      </w:r>
    </w:p>
    <w:p w:rsidR="007879D0" w:rsidRDefault="003736AE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 xml:space="preserve">0,062 / </w:t>
      </w:r>
      <w:r w:rsidR="007879D0">
        <w:rPr>
          <w:b/>
        </w:rPr>
        <w:t>9</w:t>
      </w:r>
      <w:r w:rsidR="007879D0" w:rsidRPr="002D5A40">
        <w:rPr>
          <w:b/>
        </w:rPr>
        <w:t>,</w:t>
      </w:r>
      <w:r w:rsidR="007879D0">
        <w:rPr>
          <w:b/>
        </w:rPr>
        <w:t>3</w:t>
      </w:r>
      <w:r w:rsidR="007879D0" w:rsidRPr="002D5A40">
        <w:rPr>
          <w:b/>
        </w:rPr>
        <w:t>) = 0,</w:t>
      </w:r>
      <w:r w:rsidR="007879D0">
        <w:rPr>
          <w:b/>
        </w:rPr>
        <w:t>67</w:t>
      </w:r>
      <w:r w:rsidR="007879D0" w:rsidRPr="002D5A40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indikátoru k roku 2013</w:t>
      </w:r>
    </w:p>
    <w:p w:rsidR="007879D0" w:rsidRPr="002D5A40" w:rsidRDefault="003736AE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>0,</w:t>
      </w:r>
      <w:r w:rsidR="007879D0">
        <w:rPr>
          <w:b/>
        </w:rPr>
        <w:t>190</w:t>
      </w:r>
      <w:r w:rsidR="007879D0" w:rsidRPr="002D5A40">
        <w:rPr>
          <w:b/>
        </w:rPr>
        <w:t xml:space="preserve"> / </w:t>
      </w:r>
      <w:r w:rsidR="007879D0">
        <w:rPr>
          <w:b/>
        </w:rPr>
        <w:t>13</w:t>
      </w:r>
      <w:r w:rsidR="007879D0" w:rsidRPr="002D5A40">
        <w:rPr>
          <w:b/>
        </w:rPr>
        <w:t>,</w:t>
      </w:r>
      <w:r w:rsidR="007879D0">
        <w:rPr>
          <w:b/>
        </w:rPr>
        <w:t>1</w:t>
      </w:r>
      <w:r w:rsidR="007879D0" w:rsidRPr="002D5A40">
        <w:rPr>
          <w:b/>
        </w:rPr>
        <w:t xml:space="preserve">) = </w:t>
      </w:r>
      <w:r w:rsidR="007879D0">
        <w:rPr>
          <w:b/>
        </w:rPr>
        <w:t>1</w:t>
      </w:r>
      <w:r w:rsidR="007879D0" w:rsidRPr="002D5A40">
        <w:rPr>
          <w:b/>
        </w:rPr>
        <w:t>,</w:t>
      </w:r>
      <w:r w:rsidR="007879D0">
        <w:rPr>
          <w:b/>
        </w:rPr>
        <w:t>5</w:t>
      </w:r>
      <w:r w:rsidR="000455A1">
        <w:rPr>
          <w:b/>
        </w:rPr>
        <w:t xml:space="preserve"> %</w:t>
      </w:r>
    </w:p>
    <w:p w:rsidR="007879D0" w:rsidRPr="00FC7D3E" w:rsidRDefault="004F66F9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FC7D3E">
        <w:rPr>
          <w:b/>
          <w:i/>
          <w:color w:val="76923C" w:themeColor="accent3" w:themeShade="BF"/>
        </w:rPr>
        <w:t>20</w:t>
      </w:r>
      <w:r w:rsidR="00222B2F">
        <w:rPr>
          <w:b/>
          <w:i/>
          <w:color w:val="76923C" w:themeColor="accent3" w:themeShade="BF"/>
        </w:rPr>
        <w:t xml:space="preserve">13 </w:t>
      </w:r>
      <w:r w:rsidR="007879D0" w:rsidRPr="00FC7D3E">
        <w:rPr>
          <w:b/>
          <w:i/>
          <w:color w:val="76923C" w:themeColor="accent3" w:themeShade="BF"/>
        </w:rPr>
        <w:t>– Emise z malých stacionárních zdrojů (REZZO 3)</w:t>
      </w:r>
    </w:p>
    <w:p w:rsidR="007879D0" w:rsidRDefault="007879D0" w:rsidP="007879D0">
      <w:r w:rsidRPr="002D5A40">
        <w:t>Žádoucí vývoj dat na národní úrovni je meziroční pokles, meziroční růst je vyznačen červenou barvou.</w:t>
      </w:r>
    </w:p>
    <w:p w:rsidR="004261E3" w:rsidRDefault="004261E3" w:rsidP="007879D0"/>
    <w:p w:rsidR="004261E3" w:rsidRPr="002D5A40" w:rsidRDefault="004261E3" w:rsidP="007879D0"/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4"/>
        <w:gridCol w:w="899"/>
        <w:gridCol w:w="736"/>
        <w:gridCol w:w="736"/>
        <w:gridCol w:w="736"/>
        <w:gridCol w:w="736"/>
        <w:gridCol w:w="793"/>
        <w:gridCol w:w="680"/>
        <w:gridCol w:w="736"/>
      </w:tblGrid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68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D5A40">
              <w:rPr>
                <w:sz w:val="18"/>
                <w:szCs w:val="18"/>
              </w:rPr>
              <w:t>013</w:t>
            </w: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 malých stacionárních zdrojů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99,52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95,60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94,68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92,10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81,74</w:t>
            </w:r>
          </w:p>
        </w:tc>
        <w:tc>
          <w:tcPr>
            <w:tcW w:w="68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9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88,83</w:t>
            </w: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(-3,92)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(-0,92)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(-2,58)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(-10,36)</w:t>
            </w:r>
          </w:p>
        </w:tc>
        <w:tc>
          <w:tcPr>
            <w:tcW w:w="68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</w:t>
            </w:r>
            <w:r w:rsidRPr="002D5A40">
              <w:rPr>
                <w:color w:val="FF0000"/>
                <w:sz w:val="18"/>
                <w:szCs w:val="18"/>
              </w:rPr>
              <w:t>,</w:t>
            </w:r>
            <w:r>
              <w:rPr>
                <w:color w:val="FF0000"/>
                <w:sz w:val="18"/>
                <w:szCs w:val="18"/>
              </w:rPr>
              <w:t>66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(-0,57)</w:t>
            </w: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(- 10,</w:t>
            </w:r>
            <w:r>
              <w:rPr>
                <w:b/>
                <w:sz w:val="18"/>
                <w:szCs w:val="18"/>
              </w:rPr>
              <w:t>12</w:t>
            </w:r>
            <w:r w:rsidRPr="002D5A4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2007 - 2013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(-10,69)</w:t>
            </w:r>
          </w:p>
        </w:tc>
      </w:tr>
    </w:tbl>
    <w:p w:rsidR="007879D0" w:rsidRPr="002D5A40" w:rsidRDefault="007879D0" w:rsidP="007879D0"/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odvozeného indikátoru k roku 2012</w:t>
      </w:r>
    </w:p>
    <w:p w:rsidR="007879D0" w:rsidRDefault="003736AE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>0,062 / 10,</w:t>
      </w:r>
      <w:r w:rsidR="007879D0">
        <w:rPr>
          <w:b/>
        </w:rPr>
        <w:t>12</w:t>
      </w:r>
      <w:r>
        <w:rPr>
          <w:b/>
        </w:rPr>
        <w:t xml:space="preserve">) = </w:t>
      </w:r>
      <w:r w:rsidR="007879D0" w:rsidRPr="002D5A40">
        <w:rPr>
          <w:b/>
        </w:rPr>
        <w:t>0,</w:t>
      </w:r>
      <w:r w:rsidR="007879D0">
        <w:rPr>
          <w:b/>
        </w:rPr>
        <w:t>61</w:t>
      </w:r>
      <w:r w:rsidR="007879D0" w:rsidRPr="002D5A40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Výpočet hodnoty odvozeného indikátoru k roku 2013</w:t>
      </w:r>
    </w:p>
    <w:p w:rsidR="007879D0" w:rsidRPr="002D5A40" w:rsidRDefault="003736AE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>0,</w:t>
      </w:r>
      <w:r w:rsidR="007879D0">
        <w:rPr>
          <w:b/>
        </w:rPr>
        <w:t>190</w:t>
      </w:r>
      <w:r w:rsidR="007879D0" w:rsidRPr="002D5A40">
        <w:rPr>
          <w:b/>
        </w:rPr>
        <w:t xml:space="preserve"> / 10,</w:t>
      </w:r>
      <w:r w:rsidR="007879D0">
        <w:rPr>
          <w:b/>
        </w:rPr>
        <w:t>69</w:t>
      </w:r>
      <w:r>
        <w:rPr>
          <w:b/>
        </w:rPr>
        <w:t xml:space="preserve">) = </w:t>
      </w:r>
      <w:r w:rsidR="007879D0">
        <w:rPr>
          <w:b/>
        </w:rPr>
        <w:t>1,78</w:t>
      </w:r>
      <w:r w:rsidR="000455A1">
        <w:rPr>
          <w:b/>
        </w:rPr>
        <w:t xml:space="preserve"> %</w:t>
      </w:r>
    </w:p>
    <w:p w:rsidR="007879D0" w:rsidRPr="00FC7D3E" w:rsidRDefault="007879D0" w:rsidP="007879D0">
      <w:pPr>
        <w:rPr>
          <w:b/>
          <w:i/>
          <w:color w:val="76923C" w:themeColor="accent3" w:themeShade="BF"/>
        </w:rPr>
      </w:pPr>
      <w:r w:rsidRPr="00FC7D3E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Podíl snížení těkavých organických látek (VOC) ze stacionárních zdrojů znečišťování ovzduší dosaženého prostřednictvím intervencí OPŽP na celkovém snížení emisí VOC stacionárních zdrojů (dosavadní kategorie REZZO 1, REZZO 2 a REZZO 3) v ČR v období 2007 – 201</w:t>
      </w:r>
      <w:r>
        <w:rPr>
          <w:b/>
        </w:rPr>
        <w:t>3</w:t>
      </w:r>
      <w:r w:rsidRPr="002D5A40">
        <w:rPr>
          <w:b/>
        </w:rPr>
        <w:t xml:space="preserve"> je </w:t>
      </w:r>
      <w:r>
        <w:rPr>
          <w:b/>
        </w:rPr>
        <w:t>ne</w:t>
      </w:r>
      <w:r w:rsidRPr="002D5A40">
        <w:rPr>
          <w:b/>
        </w:rPr>
        <w:t>zanedbatelný (</w:t>
      </w:r>
      <w:r>
        <w:rPr>
          <w:b/>
        </w:rPr>
        <w:t>1,5</w:t>
      </w:r>
      <w:r w:rsidRPr="002D5A40">
        <w:rPr>
          <w:b/>
        </w:rPr>
        <w:t xml:space="preserve"> %).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 xml:space="preserve">Podíl snížení emisí těkavých organických látek (VOC) ze stacionárních zdrojů znečišťování ovzduší dosaženého prostřednictvím intervencí OPŽP na celkovém snížení emisí VOC z malých stacionárních zdrojů (dosavadní kategorie REZZO 3) v ČR v období 2007 – 2012 je také </w:t>
      </w:r>
      <w:r>
        <w:rPr>
          <w:b/>
        </w:rPr>
        <w:t>ne</w:t>
      </w:r>
      <w:r w:rsidRPr="002D5A40">
        <w:rPr>
          <w:b/>
        </w:rPr>
        <w:t>zanedbatelný (</w:t>
      </w:r>
      <w:r>
        <w:rPr>
          <w:b/>
        </w:rPr>
        <w:t>1,8</w:t>
      </w:r>
      <w:r w:rsidRPr="002D5A40">
        <w:rPr>
          <w:b/>
        </w:rPr>
        <w:t xml:space="preserve"> %).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 xml:space="preserve">Výroční zprávy OPŽP: </w:t>
      </w:r>
      <w:hyperlink r:id="rId56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Ročenky znečištění ovzduší na území ČR: </w:t>
      </w:r>
      <w:hyperlink r:id="rId57" w:history="1">
        <w:r w:rsidRPr="002D5A40">
          <w:rPr>
            <w:rStyle w:val="Hypertextovodkaz"/>
          </w:rPr>
          <w:t>http://portal.chmi.cz/files/portal/docs/uoco/isko/grafroc/grafroc_CZ.html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Emisní bilance ČR: </w:t>
      </w:r>
      <w:hyperlink r:id="rId58" w:history="1">
        <w:r w:rsidRPr="002D5A40">
          <w:rPr>
            <w:rStyle w:val="Hypertextovodkaz"/>
          </w:rPr>
          <w:t>http://portal.chmi.cz/files/portal/docs/uoco/oez/emisnibilance_CZ.html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59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2D5A40" w:rsidRDefault="007879D0" w:rsidP="00E11CE0">
      <w:pPr>
        <w:pStyle w:val="Nadpis4"/>
      </w:pPr>
      <w:bookmarkStart w:id="36" w:name="_Toc404179439"/>
      <w:r w:rsidRPr="002D5A40">
        <w:lastRenderedPageBreak/>
        <w:t>Snížení emisí NH</w:t>
      </w:r>
      <w:r w:rsidRPr="002D5A40">
        <w:rPr>
          <w:vertAlign w:val="subscript"/>
        </w:rPr>
        <w:t>3</w:t>
      </w:r>
      <w:r w:rsidRPr="002D5A40">
        <w:t xml:space="preserve"> ze stacionárních zdrojů</w:t>
      </w:r>
      <w:bookmarkEnd w:id="36"/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4F66F9">
        <w:t>je dopad intervencí OPŽP 2007-</w:t>
      </w:r>
      <w:r w:rsidRPr="002D5A40">
        <w:t>2013 na celkové snížení emisí amoniaku ze stacionárních zdrojů znečišťování ovzduší v</w:t>
      </w:r>
      <w:r>
        <w:t> </w:t>
      </w:r>
      <w:r w:rsidRPr="002D5A40">
        <w:t>ČR</w:t>
      </w:r>
      <w:r>
        <w:t>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emisí amoniaku (NH</w:t>
      </w:r>
      <w:r w:rsidRPr="002D5A40">
        <w:rPr>
          <w:vertAlign w:val="subscript"/>
        </w:rPr>
        <w:t>3</w:t>
      </w:r>
      <w:r w:rsidRPr="002D5A40">
        <w:t>)</w:t>
      </w:r>
      <w:r w:rsidRPr="002D5A40">
        <w:rPr>
          <w:sz w:val="24"/>
          <w:szCs w:val="24"/>
          <w:vertAlign w:val="subscript"/>
        </w:rPr>
        <w:t xml:space="preserve"> </w:t>
      </w:r>
      <w:r w:rsidRPr="002D5A40">
        <w:t>ze stacionárních zdrojů znečišťování ovzduší (dosavadní kategorie REZZO 1, REZZO 2 a REZZO 3) dosaženého pro</w:t>
      </w:r>
      <w:r w:rsidR="00452AE3">
        <w:t>střednictvím intervencí OPŽP na </w:t>
      </w:r>
      <w:r w:rsidRPr="002D5A40">
        <w:t>celkovém snížení emisí NH</w:t>
      </w:r>
      <w:r w:rsidRPr="002D5A40">
        <w:rPr>
          <w:vertAlign w:val="subscript"/>
        </w:rPr>
        <w:t>3</w:t>
      </w:r>
      <w:r w:rsidRPr="002D5A40">
        <w:t xml:space="preserve"> ze stacionárních zd</w:t>
      </w:r>
      <w:r w:rsidR="003736AE">
        <w:t xml:space="preserve">rojů v ČR v  daném časovém </w:t>
      </w:r>
      <w:r w:rsidRPr="002D5A40">
        <w:t>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emisí v daném časovém období dosaže</w:t>
      </w:r>
      <w:r w:rsidR="00452AE3">
        <w:t>né za podpory OPŽP 2007-</w:t>
      </w:r>
      <w:r w:rsidR="00222B2F">
        <w:t xml:space="preserve">2013 </w:t>
      </w:r>
      <w:r w:rsidR="00452AE3">
        <w:t>a </w:t>
      </w:r>
      <w:r w:rsidRPr="002D5A40">
        <w:t>X</w:t>
      </w:r>
      <w:r w:rsidRPr="002D5A40">
        <w:rPr>
          <w:vertAlign w:val="subscript"/>
        </w:rPr>
        <w:t>celk</w:t>
      </w:r>
      <w:r w:rsidRPr="002D5A40">
        <w:t xml:space="preserve"> je celkové snížení emisí v ČR v 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Podíl snížení emisí amoniaku (NH</w:t>
      </w:r>
      <w:r w:rsidRPr="002D5A40">
        <w:rPr>
          <w:vertAlign w:val="subscript"/>
        </w:rPr>
        <w:t>3</w:t>
      </w:r>
      <w:r w:rsidRPr="002D5A40">
        <w:t>) z malých stacionárních zdrojů znečišťování ovzduší (dosavadní kategorie REZZO 3) dosaženého prostřednictvím intervencí OPŽP na celkovém snížení emisí NH</w:t>
      </w:r>
      <w:r w:rsidRPr="002D5A40">
        <w:rPr>
          <w:vertAlign w:val="subscript"/>
        </w:rPr>
        <w:t>3</w:t>
      </w:r>
      <w:r w:rsidRPr="002D5A40">
        <w:t xml:space="preserve"> z malých stacionární</w:t>
      </w:r>
      <w:r w:rsidR="00222B2F">
        <w:t>ch zdrojů v ČR v  daném časovém</w:t>
      </w:r>
      <w:r w:rsidRPr="002D5A40">
        <w:t xml:space="preserve">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4F66F9">
        <w:t>ající se intervencí OPŽP 2007-</w:t>
      </w:r>
      <w:r w:rsidRPr="002D5A40">
        <w:t>2013 jsou k dispozi</w:t>
      </w:r>
      <w:r w:rsidR="00452AE3">
        <w:t>ci v Informačním systému SFŽP a </w:t>
      </w:r>
      <w:r>
        <w:t>částečně</w:t>
      </w:r>
      <w:r w:rsidRPr="002D5A40">
        <w:t xml:space="preserve"> ve výročních zprávách OPŽP.</w:t>
      </w:r>
    </w:p>
    <w:p w:rsidR="007879D0" w:rsidRPr="002D5A40" w:rsidRDefault="007879D0" w:rsidP="007879D0">
      <w:r w:rsidRPr="002D5A40">
        <w:t xml:space="preserve">Data na národní úrovni jsou k dispozici např. v ročenkách Znečištění ovzduší na území ČR, vydávaných Českým hydrometeorologickým ústavem a také ve Statistických ročenkách – Životní prostředí, vydávaných Ministerstvem životního prostředí ve spolupráci s Českým statistickým úřadem. 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Časová dostupnost dat</w:t>
      </w:r>
    </w:p>
    <w:p w:rsidR="007879D0" w:rsidRDefault="007879D0" w:rsidP="007879D0">
      <w:r w:rsidRPr="002D5A40">
        <w:t>n + 1 (data za příslušný rok n jsou k dispozici nejpozději do konce roku následujícího).</w:t>
      </w:r>
    </w:p>
    <w:p w:rsidR="004261E3" w:rsidRDefault="004261E3" w:rsidP="007879D0"/>
    <w:p w:rsidR="004261E3" w:rsidRPr="002D5A40" w:rsidRDefault="004261E3" w:rsidP="007879D0"/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lastRenderedPageBreak/>
        <w:t>Nejistota</w:t>
      </w:r>
    </w:p>
    <w:p w:rsidR="007879D0" w:rsidRPr="00E11CE0" w:rsidRDefault="007879D0" w:rsidP="007879D0">
      <w:r w:rsidRPr="002D5A40">
        <w:t>Systémová nejistota je dána metodikou přípravy národní emisní bilance, kdy jsou emise z velkých a středních stacionárních zdrojů znečišťování ovzduší zjišťovány kontinuálním či periodickým měřením zatímco emise z malých stacionárních zdrojů jsou obvykle odhadován</w:t>
      </w:r>
      <w:r w:rsidR="00452AE3">
        <w:t xml:space="preserve">y výpočtem. Z analýzy zdrojové </w:t>
      </w:r>
      <w:r w:rsidRPr="002D5A40">
        <w:t>struktury emisí (poměr měřených emisí z bodových zdrojů a emisí ze zdrojů difuzních) vyplývá, že vyšší míru přesnosti emisních dat lze očekávat v případě emisí oxidu siřičitého a oxidů dusíku, vyšší míru nejistoty je nutno očekávat v případě tuhých znečišťujících látek, těkavých organic</w:t>
      </w:r>
      <w:r w:rsidR="00222B2F">
        <w:t xml:space="preserve">kých látek a zejména amoniaku.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Data ČR 2007 – 2013 – Emise ze stacionárních zdrojů (REZZO 1, REZZO 2, 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39" w:type="dxa"/>
        <w:tblLook w:val="04A0" w:firstRow="1" w:lastRow="0" w:firstColumn="1" w:lastColumn="0" w:noHBand="0" w:noVBand="1"/>
      </w:tblPr>
      <w:tblGrid>
        <w:gridCol w:w="3043"/>
        <w:gridCol w:w="899"/>
        <w:gridCol w:w="680"/>
        <w:gridCol w:w="736"/>
        <w:gridCol w:w="793"/>
        <w:gridCol w:w="680"/>
        <w:gridCol w:w="736"/>
        <w:gridCol w:w="736"/>
        <w:gridCol w:w="736"/>
      </w:tblGrid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68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68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ze stacionárních zdrojů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68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57,28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77,45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65,83</w:t>
            </w:r>
          </w:p>
        </w:tc>
        <w:tc>
          <w:tcPr>
            <w:tcW w:w="68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66,31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63,55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63,</w:t>
            </w:r>
            <w:r>
              <w:rPr>
                <w:sz w:val="18"/>
                <w:szCs w:val="18"/>
              </w:rPr>
              <w:t>71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61,34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68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20,17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(-11,62)</w:t>
            </w:r>
          </w:p>
        </w:tc>
        <w:tc>
          <w:tcPr>
            <w:tcW w:w="68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0,48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(-2,76)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612699">
              <w:rPr>
                <w:color w:val="FF0000"/>
                <w:sz w:val="18"/>
                <w:szCs w:val="18"/>
              </w:rPr>
              <w:t>0,16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(-2,37)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365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6</w:t>
            </w:r>
            <w:r w:rsidRPr="002D5A40">
              <w:rPr>
                <w:b/>
                <w:color w:val="FF0000"/>
                <w:sz w:val="18"/>
                <w:szCs w:val="18"/>
              </w:rPr>
              <w:t>.4</w:t>
            </w:r>
            <w:r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737" w:type="dxa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2007 –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02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612699">
              <w:rPr>
                <w:b/>
                <w:color w:val="FF0000"/>
                <w:sz w:val="18"/>
                <w:szCs w:val="18"/>
              </w:rPr>
              <w:t>4,06</w:t>
            </w:r>
          </w:p>
        </w:tc>
      </w:tr>
    </w:tbl>
    <w:p w:rsidR="007879D0" w:rsidRDefault="007879D0" w:rsidP="007879D0">
      <w:pPr>
        <w:rPr>
          <w:i/>
          <w:color w:val="0070C0"/>
        </w:rPr>
      </w:pPr>
    </w:p>
    <w:p w:rsidR="007879D0" w:rsidRPr="00E11CE0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E11CE0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01"/>
        <w:gridCol w:w="899"/>
        <w:gridCol w:w="752"/>
        <w:gridCol w:w="732"/>
      </w:tblGrid>
      <w:tr w:rsidR="007879D0" w:rsidRPr="002D5A40" w:rsidTr="00452A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452A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Snížení emisí ze stacionárních zdrojů za podpory OPŽP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0,0007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0,092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indikátoru k rokům 2012 a 2013</w:t>
      </w:r>
    </w:p>
    <w:p w:rsidR="007879D0" w:rsidRPr="002D5A40" w:rsidRDefault="007879D0" w:rsidP="007879D0">
      <w:pPr>
        <w:rPr>
          <w:b/>
          <w:color w:val="FF0000"/>
        </w:rPr>
      </w:pPr>
      <w:r w:rsidRPr="002D5A40">
        <w:rPr>
          <w:b/>
          <w:color w:val="FF0000"/>
        </w:rPr>
        <w:t>Hodnotu indikátoru nelze vyčíslit vzhledem k rostoucímu trendu národních emisí.</w:t>
      </w:r>
    </w:p>
    <w:p w:rsidR="007879D0" w:rsidRPr="00E11CE0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E11CE0">
        <w:rPr>
          <w:b/>
          <w:i/>
          <w:color w:val="76923C" w:themeColor="accent3" w:themeShade="BF"/>
        </w:rPr>
        <w:t>2013 – Emise z malých stacionárních zdrojů (REZZO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 malých stacionárních zdrojů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29,12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28,19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42,97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65,92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63,05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3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60,95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(-0,93)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color w:val="FF0000"/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14,78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color w:val="FF0000"/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22,98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(-2,87)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612699">
              <w:rPr>
                <w:color w:val="FF0000"/>
                <w:sz w:val="18"/>
                <w:szCs w:val="18"/>
              </w:rPr>
              <w:t>0,2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(-2,25)</w:t>
            </w:r>
          </w:p>
        </w:tc>
      </w:tr>
      <w:tr w:rsidR="007879D0" w:rsidRPr="002D5A40" w:rsidTr="00452AE3">
        <w:trPr>
          <w:trHeight w:val="70"/>
        </w:trPr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color w:val="FF0000"/>
                <w:sz w:val="18"/>
                <w:szCs w:val="18"/>
              </w:rPr>
              <w:t>3</w:t>
            </w:r>
            <w:r>
              <w:rPr>
                <w:b/>
                <w:color w:val="FF0000"/>
                <w:sz w:val="18"/>
                <w:szCs w:val="18"/>
              </w:rPr>
              <w:t>4</w:t>
            </w:r>
            <w:r w:rsidRPr="002D5A40">
              <w:rPr>
                <w:b/>
                <w:color w:val="FF0000"/>
                <w:sz w:val="18"/>
                <w:szCs w:val="18"/>
              </w:rPr>
              <w:t>,</w:t>
            </w:r>
            <w:r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>: 2</w:t>
            </w:r>
            <w:r w:rsidR="00B17940">
              <w:rPr>
                <w:b/>
                <w:sz w:val="18"/>
                <w:szCs w:val="18"/>
              </w:rPr>
              <w:t>007-</w:t>
            </w:r>
            <w:r w:rsidRPr="002D5A40">
              <w:rPr>
                <w:b/>
                <w:sz w:val="18"/>
                <w:szCs w:val="18"/>
              </w:rPr>
              <w:t>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8D1A14">
              <w:rPr>
                <w:b/>
                <w:color w:val="FF0000"/>
                <w:sz w:val="18"/>
                <w:szCs w:val="18"/>
              </w:rPr>
              <w:t>31,83</w:t>
            </w:r>
          </w:p>
        </w:tc>
      </w:tr>
    </w:tbl>
    <w:p w:rsidR="007879D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odvozeného indikátoru k roku 2012</w:t>
      </w:r>
    </w:p>
    <w:p w:rsidR="007879D0" w:rsidRPr="002D5A40" w:rsidRDefault="007879D0" w:rsidP="007879D0">
      <w:pPr>
        <w:rPr>
          <w:b/>
          <w:color w:val="FF0000"/>
        </w:rPr>
      </w:pPr>
      <w:r w:rsidRPr="002D5A40">
        <w:rPr>
          <w:b/>
          <w:color w:val="FF0000"/>
        </w:rPr>
        <w:t>Hodnotu indikátoru nelze vyčíslit vzhledem k rostoucímu trendu národních emisí.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lastRenderedPageBreak/>
        <w:t>Závěr</w:t>
      </w:r>
    </w:p>
    <w:p w:rsidR="007879D0" w:rsidRPr="002D5A40" w:rsidRDefault="007879D0" w:rsidP="007879D0">
      <w:pPr>
        <w:rPr>
          <w:b/>
          <w:color w:val="FF0000"/>
        </w:rPr>
      </w:pPr>
      <w:r w:rsidRPr="002D5A40">
        <w:rPr>
          <w:b/>
          <w:color w:val="FF0000"/>
        </w:rPr>
        <w:t>Hodnotu indikátoru nelze vyčíslit vzhledem k rostoucímu trendu národních emisí. Snížení emisí dosažené prostřednictvím intervencí OPŽP se navíc pohybuje hluboko pod jedním procentem celkových národních emisí.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 xml:space="preserve">Výroční zprávy OPŽP: </w:t>
      </w:r>
      <w:hyperlink r:id="rId60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Ročenky znečištění ovzduší na území ČR: </w:t>
      </w:r>
      <w:hyperlink r:id="rId61" w:history="1">
        <w:r w:rsidRPr="002D5A40">
          <w:rPr>
            <w:rStyle w:val="Hypertextovodkaz"/>
          </w:rPr>
          <w:t>http://portal.chmi.cz/files/portal/docs/uoco/isko/grafroc/grafroc_CZ.html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Emisní bilance ČR: </w:t>
      </w:r>
      <w:hyperlink r:id="rId62" w:history="1">
        <w:r w:rsidRPr="002D5A40">
          <w:rPr>
            <w:rStyle w:val="Hypertextovodkaz"/>
          </w:rPr>
          <w:t>http://portal.chmi.cz/files/portal/docs/uoco/oez/emisnibilance_CZ.html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63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2D5A40" w:rsidRDefault="007879D0" w:rsidP="00E11CE0">
      <w:pPr>
        <w:pStyle w:val="Nadpis4"/>
      </w:pPr>
      <w:bookmarkStart w:id="37" w:name="_Toc404179440"/>
      <w:r w:rsidRPr="002D5A40">
        <w:lastRenderedPageBreak/>
        <w:t>Snížení hodnoty parametru EPS</w:t>
      </w:r>
      <w:r w:rsidRPr="002D5A40">
        <w:rPr>
          <w:rStyle w:val="Znakapoznpodarou"/>
          <w:rFonts w:asciiTheme="minorHAnsi" w:hAnsiTheme="minorHAnsi"/>
          <w:color w:val="auto"/>
          <w:sz w:val="28"/>
          <w:szCs w:val="28"/>
        </w:rPr>
        <w:footnoteReference w:id="1"/>
      </w:r>
      <w:r w:rsidRPr="002D5A40">
        <w:t xml:space="preserve"> pro stacionární zdroje</w:t>
      </w:r>
      <w:bookmarkEnd w:id="37"/>
    </w:p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452AE3">
        <w:t>je dopad intervencí OPŽP 2007</w:t>
      </w:r>
      <w:r w:rsidR="00452AE3">
        <w:noBreakHyphen/>
      </w:r>
      <w:r w:rsidRPr="002D5A40">
        <w:t>2013 na celkové snížení primárních emisí tuhých znečišťujících látek a emisí prekurzorů sekundárních částic ze stacionárních zdrojů znečišťování ovzduší v ČR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hodnoty parametru EPS (primárních emisí tuhých znečišťujících látek a</w:t>
      </w:r>
      <w:r w:rsidRPr="002D5A40">
        <w:rPr>
          <w:sz w:val="24"/>
          <w:szCs w:val="24"/>
          <w:vertAlign w:val="subscript"/>
        </w:rPr>
        <w:t xml:space="preserve"> </w:t>
      </w:r>
      <w:r w:rsidRPr="002D5A40">
        <w:rPr>
          <w:sz w:val="24"/>
          <w:szCs w:val="24"/>
        </w:rPr>
        <w:t>emisí prekurzorů</w:t>
      </w:r>
      <w:r w:rsidRPr="002D5A40">
        <w:t xml:space="preserve"> sekundárních částic) ze stacionárních zdrojů znečišťování ovzduší (dosavadní kategorie REZZO 1, REZZO 2 a REZZO 3) dosaženého prostře</w:t>
      </w:r>
      <w:r w:rsidR="00452AE3">
        <w:t>dnictvím intervencí OPŽP 2007</w:t>
      </w:r>
      <w:r w:rsidR="00452AE3">
        <w:noBreakHyphen/>
      </w:r>
      <w:r w:rsidRPr="002D5A40">
        <w:t>2013 na celkovém snížení hodnoty parametru EPS ze stacionární</w:t>
      </w:r>
      <w:r w:rsidR="00452AE3">
        <w:t>ch zdrojů v ČR v  daném časovém</w:t>
      </w:r>
      <w:r w:rsidRPr="002D5A40">
        <w:t xml:space="preserve">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pPr>
        <w:rPr>
          <w:vertAlign w:val="subscript"/>
        </w:rPr>
      </w:pPr>
      <w:r w:rsidRPr="002D5A40">
        <w:t>EPS = emise TZL + 0,88 x emise NO</w:t>
      </w:r>
      <w:r w:rsidRPr="002D5A40">
        <w:rPr>
          <w:vertAlign w:val="subscript"/>
        </w:rPr>
        <w:t>X</w:t>
      </w:r>
      <w:r w:rsidRPr="002D5A40">
        <w:t xml:space="preserve"> + 0,54 x emise SO</w:t>
      </w:r>
      <w:r w:rsidRPr="002D5A40">
        <w:rPr>
          <w:vertAlign w:val="subscript"/>
        </w:rPr>
        <w:t>2</w:t>
      </w:r>
      <w:r w:rsidRPr="002D5A40">
        <w:t xml:space="preserve"> + 0,64 x emise NH</w:t>
      </w:r>
      <w:r w:rsidRPr="002D5A40">
        <w:rPr>
          <w:vertAlign w:val="subscript"/>
        </w:rPr>
        <w:t>3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hodnoty EPS v daném časovém období dosažené za podpory OPŽP 2007 – 2013  a X</w:t>
      </w:r>
      <w:r w:rsidRPr="002D5A40">
        <w:rPr>
          <w:vertAlign w:val="subscript"/>
        </w:rPr>
        <w:t>celk</w:t>
      </w:r>
      <w:r w:rsidRPr="002D5A40">
        <w:t xml:space="preserve"> je celkové snížení hodnoty EPS v ČR v 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Podíl snížení hodnoty parametru EPS (primárních emisí tuhých znečišťujících látek a</w:t>
      </w:r>
      <w:r w:rsidRPr="002D5A40">
        <w:rPr>
          <w:sz w:val="24"/>
          <w:szCs w:val="24"/>
          <w:vertAlign w:val="subscript"/>
        </w:rPr>
        <w:t xml:space="preserve"> </w:t>
      </w:r>
      <w:r w:rsidRPr="002D5A40">
        <w:rPr>
          <w:sz w:val="24"/>
          <w:szCs w:val="24"/>
        </w:rPr>
        <w:t>emisí prekurzorů</w:t>
      </w:r>
      <w:r w:rsidRPr="002D5A40">
        <w:t xml:space="preserve"> sekundárních částic) z malých stacionárních zdrojů znečišťování ovzduší (dosavadní kategorie REZZO 3) dosaženého prostřednictvím intervencí OPŽP 2007 – 2013 na celkovém snížení hodnoty parametru EPS z malých stacionárníc</w:t>
      </w:r>
      <w:r w:rsidR="00222B2F">
        <w:t xml:space="preserve">h zdrojů v ČR v  daném časovém </w:t>
      </w:r>
      <w:r w:rsidRPr="002D5A40">
        <w:t>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týkající se intervencí OPŽP 2007 – 2013 jsou k dispozi</w:t>
      </w:r>
      <w:r w:rsidR="004261E3">
        <w:t>ci v Informačním systému SFŽP a </w:t>
      </w:r>
      <w:r>
        <w:t>částečně</w:t>
      </w:r>
      <w:r w:rsidRPr="002D5A40">
        <w:t xml:space="preserve"> ve výročních zprávách OPŽP.</w:t>
      </w:r>
    </w:p>
    <w:p w:rsidR="007879D0" w:rsidRPr="002D5A40" w:rsidRDefault="007879D0" w:rsidP="007879D0">
      <w:r w:rsidRPr="002D5A40">
        <w:lastRenderedPageBreak/>
        <w:t xml:space="preserve">Data na národní úrovni jsou k dispozici např. v ročenkách Znečištění ovzduší na území ČR, vydávaných Českým hydrometeorologickým ústavem a také ve Statistických ročenkách – Životní prostředí, vydávaných Ministerstvem životního prostředí ve spolupráci s Českým statistickým úřadem. 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Časová dostupnost dat</w:t>
      </w:r>
    </w:p>
    <w:p w:rsidR="007879D0" w:rsidRPr="00E11CE0" w:rsidRDefault="007879D0" w:rsidP="007879D0">
      <w:r w:rsidRPr="002D5A40">
        <w:t>n + 1 (data za příslušný rok n jsou k dispozici nejpozděj</w:t>
      </w:r>
      <w:r w:rsidR="00222B2F">
        <w:t>i do konce roku následujícího).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 xml:space="preserve">Systémová nejistota je dána metodikou přípravy národní emisní bilance, kdy jsou emise z velkých a středních stacionárních zdrojů znečišťování ovzduší zjišťovány kontinuálním či periodickým měřením zatímco emise z malých stacionárních zdrojů jsou obvykle odhadovány výpočtem. Z analýzy zdrojové struktury emisí (poměr měřených emisí z bodových zdrojů a emisí ze zdrojů difuzních) vyplývá, že vyšší míru přesnosti emisních dat lze očekávat v případě emisí oxidu siřičitého a oxidů dusíku, vyšší míru nejistoty je nutno očekávat v případě tuhých znečišťujících látek, těkavých organických látek a zejména amoniaku. </w:t>
      </w:r>
    </w:p>
    <w:p w:rsidR="007879D0" w:rsidRPr="002D5A40" w:rsidRDefault="007879D0" w:rsidP="007879D0">
      <w:r w:rsidRPr="002D5A40">
        <w:t>Emise ze spalovacích stacionárních zdrojů znečišťován</w:t>
      </w:r>
      <w:r w:rsidR="00452AE3">
        <w:t>í ovzduší jsou navíc závislé na </w:t>
      </w:r>
      <w:r w:rsidRPr="002D5A40">
        <w:t>meteorologických parametrech (délka a teplotní charakter topné sezóny), což může dokonce vést k meziročnímu zvýšení národních emisí (zejména v případě TZL, SO</w:t>
      </w:r>
      <w:r w:rsidRPr="002D5A40">
        <w:rPr>
          <w:vertAlign w:val="subscript"/>
        </w:rPr>
        <w:t>2</w:t>
      </w:r>
      <w:r w:rsidRPr="002D5A40">
        <w:t xml:space="preserve"> a částečně NO</w:t>
      </w:r>
      <w:r w:rsidRPr="002D5A40">
        <w:rPr>
          <w:vertAlign w:val="subscript"/>
        </w:rPr>
        <w:t>X</w:t>
      </w:r>
      <w:r>
        <w:t xml:space="preserve"> a VOC)</w:t>
      </w:r>
      <w:r w:rsidRPr="002D5A40">
        <w:t>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Data ČR 2007 – 2013 – Emise EPS ze stacionárních zdrojů (REZZO 1, REZZO 2, 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ze stacionárních zdrojů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326,2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304,3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282,2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283,1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264,4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8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240,1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(-21,9)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(-22,3)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0,9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(-18,7)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</w:t>
            </w:r>
            <w:r>
              <w:rPr>
                <w:sz w:val="18"/>
                <w:szCs w:val="18"/>
              </w:rPr>
              <w:t>5,5</w:t>
            </w:r>
            <w:r w:rsidRPr="002D5A40">
              <w:rPr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(-18,8)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 xml:space="preserve">: 2007 </w:t>
            </w:r>
            <w:r>
              <w:rPr>
                <w:b/>
                <w:sz w:val="18"/>
                <w:szCs w:val="18"/>
              </w:rPr>
              <w:t>–</w:t>
            </w:r>
            <w:r w:rsidRPr="002D5A40">
              <w:rPr>
                <w:b/>
                <w:sz w:val="18"/>
                <w:szCs w:val="18"/>
              </w:rPr>
              <w:t xml:space="preserve">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 xml:space="preserve">(- </w:t>
            </w:r>
            <w:r>
              <w:rPr>
                <w:b/>
                <w:sz w:val="18"/>
                <w:szCs w:val="18"/>
              </w:rPr>
              <w:t>6</w:t>
            </w:r>
            <w:r w:rsidRPr="002D5A40">
              <w:rPr>
                <w:b/>
                <w:sz w:val="18"/>
                <w:szCs w:val="18"/>
              </w:rPr>
              <w:t>7,</w:t>
            </w:r>
            <w:r>
              <w:rPr>
                <w:b/>
                <w:sz w:val="18"/>
                <w:szCs w:val="18"/>
              </w:rPr>
              <w:t>3</w:t>
            </w:r>
            <w:r w:rsidRPr="002D5A4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 xml:space="preserve">: 2007 </w:t>
            </w:r>
            <w:r>
              <w:rPr>
                <w:b/>
                <w:sz w:val="18"/>
                <w:szCs w:val="18"/>
              </w:rPr>
              <w:t>–</w:t>
            </w:r>
            <w:r w:rsidRPr="002D5A40">
              <w:rPr>
                <w:b/>
                <w:sz w:val="18"/>
                <w:szCs w:val="18"/>
              </w:rPr>
              <w:t xml:space="preserve">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(-86,1)</w:t>
            </w:r>
          </w:p>
        </w:tc>
      </w:tr>
    </w:tbl>
    <w:p w:rsidR="007879D0" w:rsidRDefault="007879D0" w:rsidP="007879D0">
      <w:pPr>
        <w:rPr>
          <w:i/>
          <w:color w:val="0070C0"/>
        </w:rPr>
      </w:pPr>
    </w:p>
    <w:p w:rsidR="007879D0" w:rsidRPr="00E11CE0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E11CE0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452A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452A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Snížení emisí ze stacionárních zdrojů za podpory OPŽP (kumulativní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1,27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2,92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452AE3" w:rsidRDefault="007879D0" w:rsidP="007879D0">
      <w:pPr>
        <w:rPr>
          <w:b/>
          <w:i/>
          <w:color w:val="76923C" w:themeColor="accent3" w:themeShade="BF"/>
        </w:rPr>
      </w:pPr>
      <w:r w:rsidRPr="00452AE3">
        <w:rPr>
          <w:b/>
          <w:i/>
          <w:color w:val="76923C" w:themeColor="accent3" w:themeShade="BF"/>
        </w:rPr>
        <w:t>Výpočet hodnoty indikátoru k roku 2012</w:t>
      </w:r>
    </w:p>
    <w:p w:rsidR="007879D0" w:rsidRDefault="00452AE3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 xml:space="preserve">1,27 / </w:t>
      </w:r>
      <w:r w:rsidR="007879D0">
        <w:rPr>
          <w:b/>
        </w:rPr>
        <w:t>67</w:t>
      </w:r>
      <w:r w:rsidR="007879D0" w:rsidRPr="002D5A40">
        <w:rPr>
          <w:b/>
        </w:rPr>
        <w:t>,</w:t>
      </w:r>
      <w:r w:rsidR="007879D0">
        <w:rPr>
          <w:b/>
        </w:rPr>
        <w:t>3</w:t>
      </w:r>
      <w:r w:rsidR="007879D0" w:rsidRPr="002D5A40">
        <w:rPr>
          <w:b/>
        </w:rPr>
        <w:t>) = 1,</w:t>
      </w:r>
      <w:r w:rsidR="007879D0">
        <w:rPr>
          <w:b/>
        </w:rPr>
        <w:t>89</w:t>
      </w:r>
      <w:r w:rsidR="007879D0" w:rsidRPr="002D5A40">
        <w:rPr>
          <w:b/>
        </w:rPr>
        <w:t xml:space="preserve"> %</w:t>
      </w:r>
    </w:p>
    <w:p w:rsidR="004261E3" w:rsidRDefault="004261E3" w:rsidP="007879D0">
      <w:pPr>
        <w:rPr>
          <w:b/>
        </w:rPr>
      </w:pPr>
    </w:p>
    <w:p w:rsidR="007879D0" w:rsidRPr="00452AE3" w:rsidRDefault="007879D0" w:rsidP="007879D0">
      <w:pPr>
        <w:rPr>
          <w:b/>
          <w:i/>
          <w:color w:val="76923C" w:themeColor="accent3" w:themeShade="BF"/>
        </w:rPr>
      </w:pPr>
      <w:r w:rsidRPr="00452AE3">
        <w:rPr>
          <w:b/>
          <w:i/>
          <w:color w:val="76923C" w:themeColor="accent3" w:themeShade="BF"/>
        </w:rPr>
        <w:lastRenderedPageBreak/>
        <w:t>Výpočet hodnoty indikátoru k roku 2013</w:t>
      </w:r>
    </w:p>
    <w:p w:rsidR="007879D0" w:rsidRPr="002D5A40" w:rsidRDefault="00452AE3" w:rsidP="007879D0">
      <w:pPr>
        <w:rPr>
          <w:b/>
        </w:rPr>
      </w:pPr>
      <w:r>
        <w:rPr>
          <w:b/>
        </w:rPr>
        <w:t>IND = 100 (</w:t>
      </w:r>
      <w:r w:rsidR="007879D0">
        <w:rPr>
          <w:b/>
        </w:rPr>
        <w:t>2</w:t>
      </w:r>
      <w:r w:rsidR="007879D0" w:rsidRPr="002D5A40">
        <w:rPr>
          <w:b/>
        </w:rPr>
        <w:t>,</w:t>
      </w:r>
      <w:r w:rsidR="007879D0">
        <w:rPr>
          <w:b/>
        </w:rPr>
        <w:t>92</w:t>
      </w:r>
      <w:r w:rsidR="007879D0" w:rsidRPr="002D5A40">
        <w:rPr>
          <w:b/>
        </w:rPr>
        <w:t xml:space="preserve"> / </w:t>
      </w:r>
      <w:r w:rsidR="007879D0">
        <w:rPr>
          <w:b/>
        </w:rPr>
        <w:t>86</w:t>
      </w:r>
      <w:r w:rsidR="007879D0" w:rsidRPr="002D5A40">
        <w:rPr>
          <w:b/>
        </w:rPr>
        <w:t>,</w:t>
      </w:r>
      <w:r w:rsidR="007879D0">
        <w:rPr>
          <w:b/>
        </w:rPr>
        <w:t>1</w:t>
      </w:r>
      <w:r w:rsidR="007879D0" w:rsidRPr="002D5A40">
        <w:rPr>
          <w:b/>
        </w:rPr>
        <w:t xml:space="preserve">) = </w:t>
      </w:r>
      <w:r w:rsidR="007879D0">
        <w:rPr>
          <w:b/>
        </w:rPr>
        <w:t>3</w:t>
      </w:r>
      <w:r w:rsidR="007879D0" w:rsidRPr="002D5A40">
        <w:rPr>
          <w:b/>
        </w:rPr>
        <w:t>,</w:t>
      </w:r>
      <w:r w:rsidR="007879D0">
        <w:rPr>
          <w:b/>
        </w:rPr>
        <w:t>39</w:t>
      </w:r>
      <w:r>
        <w:rPr>
          <w:b/>
        </w:rPr>
        <w:t xml:space="preserve"> </w:t>
      </w:r>
      <w:r w:rsidR="007879D0" w:rsidRPr="002D5A40">
        <w:rPr>
          <w:b/>
        </w:rPr>
        <w:t>%</w:t>
      </w:r>
    </w:p>
    <w:p w:rsidR="007879D0" w:rsidRPr="002D5A40" w:rsidRDefault="007879D0" w:rsidP="007879D0">
      <w:pPr>
        <w:rPr>
          <w:b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Data ČR 2007 – 2013 – Emise EPS z malých stacionárních zdrojů (REZZO 3)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45"/>
        <w:gridCol w:w="899"/>
        <w:gridCol w:w="736"/>
        <w:gridCol w:w="736"/>
        <w:gridCol w:w="736"/>
        <w:gridCol w:w="736"/>
        <w:gridCol w:w="736"/>
        <w:gridCol w:w="736"/>
        <w:gridCol w:w="736"/>
      </w:tblGrid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z malých stacionárních zdrojů v 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58,41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57,36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65,51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85,70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78,71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82,10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1000 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(-1,05)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8,15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20,19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(-6,99)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8845E3">
              <w:rPr>
                <w:color w:val="FF0000"/>
                <w:sz w:val="18"/>
                <w:szCs w:val="18"/>
              </w:rPr>
              <w:t>3,80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(-0,4)</w:t>
            </w: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 xml:space="preserve">: 2007 </w:t>
            </w:r>
            <w:r>
              <w:rPr>
                <w:b/>
                <w:sz w:val="18"/>
                <w:szCs w:val="18"/>
              </w:rPr>
              <w:t>–</w:t>
            </w:r>
            <w:r w:rsidRPr="002D5A40">
              <w:rPr>
                <w:b/>
                <w:sz w:val="18"/>
                <w:szCs w:val="18"/>
              </w:rPr>
              <w:t xml:space="preserve"> 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color w:val="FF0000"/>
                <w:sz w:val="18"/>
                <w:szCs w:val="18"/>
              </w:rPr>
              <w:t>2</w:t>
            </w:r>
            <w:r>
              <w:rPr>
                <w:b/>
                <w:color w:val="FF0000"/>
                <w:sz w:val="18"/>
                <w:szCs w:val="18"/>
              </w:rPr>
              <w:t>4</w:t>
            </w:r>
            <w:r w:rsidRPr="002D5A40">
              <w:rPr>
                <w:b/>
                <w:color w:val="FF0000"/>
                <w:sz w:val="18"/>
                <w:szCs w:val="18"/>
              </w:rPr>
              <w:t>,</w:t>
            </w:r>
            <w:r>
              <w:rPr>
                <w:b/>
                <w:color w:val="FF0000"/>
                <w:sz w:val="18"/>
                <w:szCs w:val="18"/>
              </w:rPr>
              <w:t>09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452AE3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Pr="002D5A40">
              <w:rPr>
                <w:b/>
                <w:sz w:val="18"/>
                <w:szCs w:val="18"/>
              </w:rPr>
              <w:t xml:space="preserve">: 2007 </w:t>
            </w:r>
            <w:r>
              <w:rPr>
                <w:b/>
                <w:sz w:val="18"/>
                <w:szCs w:val="18"/>
              </w:rPr>
              <w:t>–</w:t>
            </w:r>
            <w:r w:rsidRPr="002D5A40">
              <w:rPr>
                <w:b/>
                <w:sz w:val="18"/>
                <w:szCs w:val="18"/>
              </w:rPr>
              <w:t xml:space="preserve"> 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1000 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873541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873541">
              <w:rPr>
                <w:b/>
                <w:color w:val="FF0000"/>
                <w:sz w:val="18"/>
                <w:szCs w:val="18"/>
              </w:rPr>
              <w:t>23,69</w:t>
            </w:r>
          </w:p>
        </w:tc>
      </w:tr>
    </w:tbl>
    <w:p w:rsidR="007879D0" w:rsidRPr="002D5A40" w:rsidRDefault="007879D0" w:rsidP="007879D0">
      <w:r w:rsidRPr="002D5A40">
        <w:t>Data za rok 2013 nejsou dosud k dispozici.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odvozeného indikátoru k rokům 2012 a 2013</w:t>
      </w:r>
    </w:p>
    <w:p w:rsidR="007879D0" w:rsidRPr="00E11CE0" w:rsidRDefault="007879D0" w:rsidP="007879D0">
      <w:pPr>
        <w:rPr>
          <w:color w:val="FF0000"/>
        </w:rPr>
      </w:pPr>
      <w:r w:rsidRPr="002D5A40">
        <w:rPr>
          <w:color w:val="FF0000"/>
        </w:rPr>
        <w:t>Hodnotu indikátoru nelze vyčíslit vzhledem k ros</w:t>
      </w:r>
      <w:r w:rsidR="00222B2F">
        <w:rPr>
          <w:color w:val="FF0000"/>
        </w:rPr>
        <w:t>toucímu trendu národních emisí.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Závěr</w:t>
      </w:r>
    </w:p>
    <w:p w:rsidR="007879D0" w:rsidRDefault="007879D0" w:rsidP="007879D0">
      <w:pPr>
        <w:rPr>
          <w:b/>
        </w:rPr>
      </w:pPr>
      <w:r w:rsidRPr="002D5A40">
        <w:rPr>
          <w:b/>
        </w:rPr>
        <w:t xml:space="preserve">Podíl snížení emisí ze stacionárních zdrojů znečišťování ovzduší, vyjádřených indikátorem EPS, dosaženého prostřednictvím intervencí OPŽP na celkovém snížení emisí ze stacionárních zdrojů (dosavadní kategorie REZZO 1, REZZO 2 </w:t>
      </w:r>
      <w:r w:rsidR="00452AE3">
        <w:rPr>
          <w:b/>
        </w:rPr>
        <w:t>a REZZO 3) v ČR v období 2007-</w:t>
      </w:r>
      <w:r w:rsidRPr="002D5A40">
        <w:rPr>
          <w:b/>
        </w:rPr>
        <w:t xml:space="preserve">2012 je </w:t>
      </w:r>
      <w:r>
        <w:rPr>
          <w:b/>
        </w:rPr>
        <w:t>ne</w:t>
      </w:r>
      <w:r w:rsidRPr="002D5A40">
        <w:rPr>
          <w:b/>
        </w:rPr>
        <w:t>zanedbatelný (</w:t>
      </w:r>
      <w:r>
        <w:rPr>
          <w:b/>
        </w:rPr>
        <w:t>3,4</w:t>
      </w:r>
      <w:r w:rsidR="00452AE3">
        <w:rPr>
          <w:b/>
        </w:rPr>
        <w:t xml:space="preserve"> </w:t>
      </w:r>
      <w:r w:rsidRPr="002D5A40">
        <w:rPr>
          <w:b/>
        </w:rPr>
        <w:t xml:space="preserve">%).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 xml:space="preserve">Výroční zprávy OPŽP: </w:t>
      </w:r>
      <w:hyperlink r:id="rId64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Ročenky znečištění ovzduší na území ČR: </w:t>
      </w:r>
      <w:hyperlink r:id="rId65" w:history="1">
        <w:r w:rsidRPr="002D5A40">
          <w:rPr>
            <w:rStyle w:val="Hypertextovodkaz"/>
          </w:rPr>
          <w:t>http://portal.chmi.cz/files/portal/docs/uoco/isko/grafroc/grafroc_CZ.html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Emisní bilance ČR: </w:t>
      </w:r>
      <w:hyperlink r:id="rId66" w:history="1">
        <w:r w:rsidRPr="002D5A40">
          <w:rPr>
            <w:rStyle w:val="Hypertextovodkaz"/>
          </w:rPr>
          <w:t>http://portal.chmi.cz/files/portal/docs/uoco/oez/emisnibilance_CZ.html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67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4261E3" w:rsidRDefault="007879D0" w:rsidP="007879D0">
      <w:pPr>
        <w:pStyle w:val="Nadpis2"/>
        <w:rPr>
          <w:b w:val="0"/>
        </w:rPr>
      </w:pPr>
      <w:bookmarkStart w:id="38" w:name="_Toc404179362"/>
      <w:bookmarkStart w:id="39" w:name="_Toc404179441"/>
      <w:r w:rsidRPr="002D5A40">
        <w:lastRenderedPageBreak/>
        <w:t xml:space="preserve">Emise </w:t>
      </w:r>
      <w:r w:rsidRPr="00E11CE0">
        <w:t>skleníkových</w:t>
      </w:r>
      <w:r w:rsidRPr="002D5A40">
        <w:t xml:space="preserve"> plynů a energetika</w:t>
      </w:r>
      <w:bookmarkEnd w:id="38"/>
      <w:bookmarkEnd w:id="39"/>
    </w:p>
    <w:p w:rsidR="007879D0" w:rsidRPr="002D5A40" w:rsidRDefault="007879D0" w:rsidP="00E11CE0">
      <w:pPr>
        <w:pStyle w:val="Nadpis5"/>
      </w:pPr>
      <w:bookmarkStart w:id="40" w:name="_Toc404179442"/>
      <w:r w:rsidRPr="002D5A40">
        <w:t>Snížení spotřeby energie</w:t>
      </w:r>
      <w:bookmarkEnd w:id="40"/>
    </w:p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B17940">
        <w:t>je dopad intervencí OPŽP 2007-</w:t>
      </w:r>
      <w:r w:rsidRPr="002D5A40">
        <w:t>2013 na celkové snížení konečné spotřeby energie v ČR.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spotřeby energie vlivem intervencí OPŽP na celkovém snížení konečné spotřeby energie v ČR v 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="00452AE3">
        <w:t xml:space="preserve"> je</w:t>
      </w:r>
      <w:r w:rsidRPr="002D5A40">
        <w:t xml:space="preserve"> s</w:t>
      </w:r>
      <w:r w:rsidR="00452AE3">
        <w:t>nížení konečné spotřeby energie</w:t>
      </w:r>
      <w:r w:rsidRPr="002D5A40">
        <w:t xml:space="preserve"> v daném časové</w:t>
      </w:r>
      <w:r w:rsidR="00452AE3">
        <w:t>m období za podpory OPŽP 2007</w:t>
      </w:r>
      <w:r w:rsidR="00452AE3">
        <w:noBreakHyphen/>
        <w:t xml:space="preserve">2013 </w:t>
      </w:r>
      <w:r w:rsidRPr="002D5A40">
        <w:t>a X</w:t>
      </w:r>
      <w:r w:rsidRPr="002D5A40">
        <w:rPr>
          <w:vertAlign w:val="subscript"/>
        </w:rPr>
        <w:t>celk</w:t>
      </w:r>
      <w:r w:rsidRPr="002D5A40">
        <w:t xml:space="preserve"> je celkové snížení konečné spotřeby energie v  ČR v 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Nejsou navrhovány.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týkající se intervencí OPŽP 2</w:t>
      </w:r>
      <w:r w:rsidR="00452AE3">
        <w:t>007-</w:t>
      </w:r>
      <w:r w:rsidRPr="002D5A40">
        <w:t>2013 jsou k dispozi</w:t>
      </w:r>
      <w:r w:rsidR="00452AE3">
        <w:t>ci v Informačním systému SFŽP a </w:t>
      </w:r>
      <w:r>
        <w:t>částečně</w:t>
      </w:r>
      <w:r w:rsidRPr="002D5A40">
        <w:t xml:space="preserve"> ve výročních zprávách OPŽP.</w:t>
      </w:r>
    </w:p>
    <w:p w:rsidR="007879D0" w:rsidRPr="002D5A40" w:rsidRDefault="007879D0" w:rsidP="007879D0">
      <w:r w:rsidRPr="002D5A40">
        <w:t xml:space="preserve">Data na národní úrovni jsou k dispozici ve Statistických ročenkách – Životní prostředí, vydávaných MŽP ve spolupráci s ČSÚ.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>Spotřeba energie je ovlivněna ekonomickými faktory a může být ovlivněna meteorologickými podmínkami (délka a charakter topné sezóny).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lastRenderedPageBreak/>
        <w:t>Data ČR 2007 – 2012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8984" w:type="dxa"/>
        <w:tblLook w:val="04A0" w:firstRow="1" w:lastRow="0" w:firstColumn="1" w:lastColumn="0" w:noHBand="0" w:noVBand="1"/>
      </w:tblPr>
      <w:tblGrid>
        <w:gridCol w:w="2714"/>
        <w:gridCol w:w="899"/>
        <w:gridCol w:w="791"/>
        <w:gridCol w:w="794"/>
        <w:gridCol w:w="791"/>
        <w:gridCol w:w="791"/>
        <w:gridCol w:w="791"/>
        <w:gridCol w:w="791"/>
        <w:gridCol w:w="622"/>
      </w:tblGrid>
      <w:tr w:rsidR="007879D0" w:rsidRPr="002D5A40" w:rsidTr="00452AE3">
        <w:tc>
          <w:tcPr>
            <w:tcW w:w="290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62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452AE3">
        <w:tc>
          <w:tcPr>
            <w:tcW w:w="290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Konečná spotřeba energie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PJ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1 227,5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1 102,0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1 031,2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1 118,0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1 052,3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1 028,3</w:t>
            </w:r>
          </w:p>
        </w:tc>
        <w:tc>
          <w:tcPr>
            <w:tcW w:w="62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</w:tr>
      <w:tr w:rsidR="007879D0" w:rsidRPr="002D5A40" w:rsidTr="00452AE3">
        <w:tc>
          <w:tcPr>
            <w:tcW w:w="290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PJ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(-125,5)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(-70,8)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86,8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(-65,7)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(-24,0)</w:t>
            </w:r>
          </w:p>
        </w:tc>
        <w:tc>
          <w:tcPr>
            <w:tcW w:w="62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</w:tr>
      <w:tr w:rsidR="007879D0" w:rsidRPr="002D5A40" w:rsidTr="00452AE3">
        <w:tc>
          <w:tcPr>
            <w:tcW w:w="290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PJ</w:t>
            </w:r>
          </w:p>
        </w:tc>
        <w:tc>
          <w:tcPr>
            <w:tcW w:w="4584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(- 199,2)</w:t>
            </w:r>
          </w:p>
        </w:tc>
        <w:tc>
          <w:tcPr>
            <w:tcW w:w="623" w:type="dxa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452AE3">
        <w:tc>
          <w:tcPr>
            <w:tcW w:w="290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PJ</w:t>
            </w:r>
          </w:p>
        </w:tc>
        <w:tc>
          <w:tcPr>
            <w:tcW w:w="5207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2D5A40" w:rsidRDefault="007879D0" w:rsidP="007879D0">
      <w:r w:rsidRPr="002D5A40">
        <w:t>Data za rok 2013 nejsou dosud k dispozici.</w:t>
      </w:r>
    </w:p>
    <w:p w:rsidR="007879D0" w:rsidRPr="00E11CE0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E11CE0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452A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452AE3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Celkové snížení spotřeby energie vyplývající z intervencí OPŽP (kumul.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PJ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0,262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1,061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indikátoru k roku 2012</w:t>
      </w:r>
    </w:p>
    <w:p w:rsidR="007879D0" w:rsidRPr="002D5A40" w:rsidRDefault="00B17940" w:rsidP="007879D0">
      <w:pPr>
        <w:rPr>
          <w:b/>
        </w:rPr>
      </w:pPr>
      <w:r>
        <w:rPr>
          <w:b/>
        </w:rPr>
        <w:t xml:space="preserve">IND = 100 (0,262 / 199,2) = </w:t>
      </w:r>
      <w:r w:rsidR="007879D0" w:rsidRPr="002D5A40">
        <w:rPr>
          <w:b/>
        </w:rPr>
        <w:t>0,13 %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P</w:t>
      </w:r>
      <w:r w:rsidR="00222B2F">
        <w:rPr>
          <w:b/>
        </w:rPr>
        <w:t xml:space="preserve">odíl snížení spotřeby energie, </w:t>
      </w:r>
      <w:r w:rsidRPr="002D5A40">
        <w:rPr>
          <w:b/>
        </w:rPr>
        <w:t>dosaženého pro</w:t>
      </w:r>
      <w:r w:rsidR="003736AE">
        <w:rPr>
          <w:b/>
        </w:rPr>
        <w:t>střednictvím intervencí OP ŽP na </w:t>
      </w:r>
      <w:r w:rsidRPr="002D5A40">
        <w:rPr>
          <w:b/>
        </w:rPr>
        <w:t>celkovém snížení spotřeby energie v ČR v období 200</w:t>
      </w:r>
      <w:r w:rsidR="003736AE">
        <w:rPr>
          <w:b/>
        </w:rPr>
        <w:t>7-</w:t>
      </w:r>
      <w:r w:rsidR="00222B2F">
        <w:rPr>
          <w:b/>
        </w:rPr>
        <w:t xml:space="preserve">2012 je zanedbatelný (0,13 </w:t>
      </w:r>
      <w:r w:rsidRPr="002D5A40">
        <w:rPr>
          <w:b/>
        </w:rPr>
        <w:t xml:space="preserve">%).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 xml:space="preserve">Výroční zprávy OPŽP: </w:t>
      </w:r>
      <w:hyperlink r:id="rId68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69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2D5A40" w:rsidRDefault="007879D0" w:rsidP="00E11CE0">
      <w:pPr>
        <w:pStyle w:val="Nadpis5"/>
      </w:pPr>
      <w:bookmarkStart w:id="41" w:name="_Toc404179443"/>
      <w:r w:rsidRPr="002D5A40">
        <w:lastRenderedPageBreak/>
        <w:t>Výroba tepla z OZE</w:t>
      </w:r>
      <w:bookmarkEnd w:id="41"/>
    </w:p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B17940">
        <w:t>je dopad intervencí OPŽP 2007-</w:t>
      </w:r>
      <w:r w:rsidRPr="002D5A40">
        <w:t>2013 na celkové zvýšení výroby tepla z OZE v</w:t>
      </w:r>
      <w:r w:rsidR="003736AE">
        <w:t> </w:t>
      </w:r>
      <w:r w:rsidRPr="002D5A40">
        <w:t>ČR</w:t>
      </w:r>
      <w:r w:rsidR="003736AE">
        <w:t>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 xml:space="preserve">Podíl zvýšení výroby tepla z OZE vlivem intervencí OPŽP na </w:t>
      </w:r>
      <w:r w:rsidR="003736AE">
        <w:t>celkovém zvýšení výroby tepla z </w:t>
      </w:r>
      <w:r w:rsidRPr="002D5A40">
        <w:t>OZE v ČR v 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zvýšení výroby tepla z OZE  v daném časovém obdo</w:t>
      </w:r>
      <w:r w:rsidR="003736AE">
        <w:t>bí za podpory OPŽP 2007-2013 a </w:t>
      </w:r>
      <w:r w:rsidRPr="002D5A40">
        <w:t>X</w:t>
      </w:r>
      <w:r w:rsidRPr="002D5A40">
        <w:rPr>
          <w:vertAlign w:val="subscript"/>
        </w:rPr>
        <w:t>celk</w:t>
      </w:r>
      <w:r w:rsidRPr="002D5A40">
        <w:t xml:space="preserve"> je celkové zvýšení výroby tepla z OZE  v  ČR v 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 xml:space="preserve">Odvozené indikátory mohou být připraveny pro jednotlivé druhy OZE (pevná biomasa, bioplyn, tepelná čerpadla, solární panely).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týkající se intervencí OPŽP 2007 – 2013 jsou k dispozici v Informačním systému SFŽP a</w:t>
      </w:r>
      <w:r w:rsidR="003736AE">
        <w:t> </w:t>
      </w:r>
      <w:r>
        <w:t>částečně</w:t>
      </w:r>
      <w:r w:rsidRPr="002D5A40">
        <w:t xml:space="preserve"> ve výročních zprávách OPŽP.</w:t>
      </w:r>
    </w:p>
    <w:p w:rsidR="007879D0" w:rsidRPr="002D5A40" w:rsidRDefault="007879D0" w:rsidP="007879D0">
      <w:r w:rsidRPr="002D5A40">
        <w:t xml:space="preserve">Data na národní úrovni jsou k dispozici ve Statistických ročenkách – Životní prostředí, vydávaných MŽP ve spolupráci s ČSÚ.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Nejistota</w:t>
      </w:r>
    </w:p>
    <w:p w:rsidR="007879D0" w:rsidRDefault="007879D0" w:rsidP="007879D0">
      <w:r w:rsidRPr="002D5A40">
        <w:t>Výroba tepla může být ovlivněna meteorologickými podmínkami (délka a charakter topné sezóny).</w:t>
      </w:r>
    </w:p>
    <w:p w:rsidR="004261E3" w:rsidRPr="002D5A40" w:rsidRDefault="004261E3" w:rsidP="007879D0"/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lastRenderedPageBreak/>
        <w:t>Data ČR 2007 – 2013</w:t>
      </w:r>
    </w:p>
    <w:p w:rsidR="007879D0" w:rsidRPr="002D5A40" w:rsidRDefault="007879D0" w:rsidP="007879D0">
      <w:r w:rsidRPr="002D5A40">
        <w:t>Žádoucí vývoj dat na národní úrovni je meziroční růst, meziroční pokles je vyznačen červenou barvou.</w:t>
      </w:r>
    </w:p>
    <w:tbl>
      <w:tblPr>
        <w:tblStyle w:val="Mkatabulky"/>
        <w:tblW w:w="8855" w:type="dxa"/>
        <w:tblLook w:val="04A0" w:firstRow="1" w:lastRow="0" w:firstColumn="1" w:lastColumn="0" w:noHBand="0" w:noVBand="1"/>
      </w:tblPr>
      <w:tblGrid>
        <w:gridCol w:w="2650"/>
        <w:gridCol w:w="899"/>
        <w:gridCol w:w="757"/>
        <w:gridCol w:w="757"/>
        <w:gridCol w:w="757"/>
        <w:gridCol w:w="757"/>
        <w:gridCol w:w="757"/>
        <w:gridCol w:w="729"/>
        <w:gridCol w:w="792"/>
      </w:tblGrid>
      <w:tr w:rsidR="007879D0" w:rsidRPr="002D5A40" w:rsidTr="003736AE">
        <w:tc>
          <w:tcPr>
            <w:tcW w:w="266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9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3736AE">
        <w:tc>
          <w:tcPr>
            <w:tcW w:w="266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Celková výroba tepla z OZE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TJ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49 563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48 777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48 715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53 234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53 011</w:t>
            </w:r>
          </w:p>
        </w:tc>
        <w:tc>
          <w:tcPr>
            <w:tcW w:w="73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53 960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62 928</w:t>
            </w:r>
          </w:p>
        </w:tc>
      </w:tr>
      <w:tr w:rsidR="007879D0" w:rsidRPr="002D5A40" w:rsidTr="003736AE">
        <w:tc>
          <w:tcPr>
            <w:tcW w:w="266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TJ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color w:val="FF0000"/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(-786)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color w:val="FF0000"/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(-62)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4 519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color w:val="FF0000"/>
                <w:sz w:val="18"/>
                <w:szCs w:val="18"/>
              </w:rPr>
              <w:t>(-223)</w:t>
            </w:r>
          </w:p>
        </w:tc>
        <w:tc>
          <w:tcPr>
            <w:tcW w:w="73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949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8 968</w:t>
            </w:r>
          </w:p>
        </w:tc>
      </w:tr>
      <w:tr w:rsidR="007879D0" w:rsidRPr="002D5A40" w:rsidTr="003736AE">
        <w:tc>
          <w:tcPr>
            <w:tcW w:w="266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TJ</w:t>
            </w:r>
          </w:p>
        </w:tc>
        <w:tc>
          <w:tcPr>
            <w:tcW w:w="4520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4 397</w:t>
            </w:r>
          </w:p>
        </w:tc>
        <w:tc>
          <w:tcPr>
            <w:tcW w:w="79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3736AE">
        <w:tc>
          <w:tcPr>
            <w:tcW w:w="2665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TJ</w:t>
            </w:r>
          </w:p>
        </w:tc>
        <w:tc>
          <w:tcPr>
            <w:tcW w:w="5314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13 365</w:t>
            </w:r>
          </w:p>
        </w:tc>
      </w:tr>
    </w:tbl>
    <w:p w:rsidR="007879D0" w:rsidRDefault="007879D0" w:rsidP="007879D0">
      <w:pPr>
        <w:rPr>
          <w:i/>
          <w:color w:val="0070C0"/>
        </w:rPr>
      </w:pPr>
    </w:p>
    <w:p w:rsidR="007879D0" w:rsidRPr="00E11CE0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E11CE0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3736AE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3736AE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Celkové zvýšení výroby tepla z OZE vyplývající z intervencí OPŽP (kumul.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TJ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8,8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41,4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indikátoru k roku 2012</w:t>
      </w:r>
    </w:p>
    <w:p w:rsidR="007879D0" w:rsidRDefault="003736AE" w:rsidP="007879D0">
      <w:pPr>
        <w:rPr>
          <w:b/>
        </w:rPr>
      </w:pPr>
      <w:r>
        <w:rPr>
          <w:b/>
        </w:rPr>
        <w:t>IND = 100 (8,8 / 4 397</w:t>
      </w:r>
      <w:r w:rsidR="007879D0" w:rsidRPr="002D5A40">
        <w:rPr>
          <w:b/>
        </w:rPr>
        <w:t>) = 0,2</w:t>
      </w:r>
      <w:r w:rsidR="007879D0">
        <w:rPr>
          <w:b/>
        </w:rPr>
        <w:t>0</w:t>
      </w:r>
      <w:r w:rsidR="007879D0" w:rsidRPr="002D5A40">
        <w:rPr>
          <w:b/>
        </w:rPr>
        <w:t xml:space="preserve"> %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indikátoru k roku 2013</w:t>
      </w:r>
    </w:p>
    <w:p w:rsidR="007879D0" w:rsidRPr="002D5A40" w:rsidRDefault="003736AE" w:rsidP="007879D0">
      <w:pPr>
        <w:rPr>
          <w:b/>
        </w:rPr>
      </w:pPr>
      <w:r>
        <w:rPr>
          <w:b/>
        </w:rPr>
        <w:t>IND = 100 (</w:t>
      </w:r>
      <w:r w:rsidR="007879D0">
        <w:rPr>
          <w:b/>
        </w:rPr>
        <w:t>41,4</w:t>
      </w:r>
      <w:r w:rsidR="007879D0" w:rsidRPr="002D5A40">
        <w:rPr>
          <w:b/>
        </w:rPr>
        <w:t xml:space="preserve"> / </w:t>
      </w:r>
      <w:r w:rsidR="007879D0">
        <w:rPr>
          <w:b/>
        </w:rPr>
        <w:t>13 365</w:t>
      </w:r>
      <w:r w:rsidR="007879D0" w:rsidRPr="002D5A40">
        <w:rPr>
          <w:b/>
        </w:rPr>
        <w:t>) = 0,</w:t>
      </w:r>
      <w:r w:rsidR="007879D0">
        <w:rPr>
          <w:b/>
        </w:rPr>
        <w:t>31</w:t>
      </w:r>
      <w:r w:rsidR="00222B2F">
        <w:rPr>
          <w:b/>
        </w:rPr>
        <w:t xml:space="preserve"> %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Podíl zvýšení výroby tepla z</w:t>
      </w:r>
      <w:r w:rsidR="00222B2F">
        <w:rPr>
          <w:b/>
        </w:rPr>
        <w:t xml:space="preserve"> obnovitelných zdrojů energie, </w:t>
      </w:r>
      <w:r w:rsidRPr="002D5A40">
        <w:rPr>
          <w:b/>
        </w:rPr>
        <w:t>dosaženého prostřednictvím intervencí OPŽP, na celkovém zvýšení výroby tepla z obnovitelných zdrojů energie v ČR v období 2007 – 2012 je zanedbatelný (0,</w:t>
      </w:r>
      <w:r>
        <w:rPr>
          <w:b/>
        </w:rPr>
        <w:t>3</w:t>
      </w:r>
      <w:r w:rsidRPr="002D5A40">
        <w:rPr>
          <w:b/>
        </w:rPr>
        <w:t xml:space="preserve"> %).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 xml:space="preserve">Výroční zprávy OPŽP: </w:t>
      </w:r>
      <w:hyperlink r:id="rId70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71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2D5A40" w:rsidRDefault="007879D0" w:rsidP="00E11CE0">
      <w:pPr>
        <w:pStyle w:val="Nadpis5"/>
      </w:pPr>
      <w:bookmarkStart w:id="42" w:name="_Toc404179444"/>
      <w:r w:rsidRPr="002D5A40">
        <w:lastRenderedPageBreak/>
        <w:t>Výroba elektřiny z OZE</w:t>
      </w:r>
      <w:bookmarkEnd w:id="42"/>
    </w:p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3736AE">
        <w:t>je dopad intervencí OPŽP 2007-</w:t>
      </w:r>
      <w:r w:rsidRPr="002D5A40">
        <w:t>2013 na celkové zvýšení výroby elektřiny z obnovitelných zdrojů energie v</w:t>
      </w:r>
      <w:r w:rsidR="003736AE">
        <w:t> </w:t>
      </w:r>
      <w:r w:rsidRPr="002D5A40">
        <w:t>ČR</w:t>
      </w:r>
      <w:r w:rsidR="003736AE">
        <w:t>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 xml:space="preserve">Podíl zvýšení výroby elektřiny z OZE vlivem intervencí OPŽP na </w:t>
      </w:r>
      <w:r w:rsidR="003736AE">
        <w:t>celkovém zvýšení výroby tepla z </w:t>
      </w:r>
      <w:r w:rsidRPr="002D5A40">
        <w:t>OZE v ČR v 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</w:t>
      </w:r>
      <w:r w:rsidR="003736AE">
        <w:t>je</w:t>
      </w:r>
      <w:r w:rsidRPr="002D5A40">
        <w:t xml:space="preserve"> zvýšení výroby elektřiny z OZE  v daném časové</w:t>
      </w:r>
      <w:r w:rsidR="003736AE">
        <w:t>m období za podpory OPŽP 2007</w:t>
      </w:r>
      <w:r w:rsidR="003736AE">
        <w:noBreakHyphen/>
      </w:r>
      <w:r w:rsidRPr="002D5A40">
        <w:t>2013  a X</w:t>
      </w:r>
      <w:r w:rsidRPr="002D5A40">
        <w:rPr>
          <w:vertAlign w:val="subscript"/>
        </w:rPr>
        <w:t>celk</w:t>
      </w:r>
      <w:r w:rsidRPr="002D5A40">
        <w:t xml:space="preserve"> je celkové zvýšení výroby elektřiny z OZE  v  ČR v 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 xml:space="preserve">Odvozené indikátory mohou být připraveny pro jednotlivé druhy OZE (vodní elektrárny, větrné elektrárny, fotovoltaické elektrárny, biomasa).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3736AE">
        <w:t>ající se intervencí OPŽP 2007-</w:t>
      </w:r>
      <w:r w:rsidRPr="002D5A40">
        <w:t xml:space="preserve">2013 jsou k dispozici v Informačním systému SFŽP </w:t>
      </w:r>
      <w:r w:rsidRPr="003736AE">
        <w:t>a</w:t>
      </w:r>
      <w:r w:rsidR="003736AE">
        <w:t> </w:t>
      </w:r>
      <w:r w:rsidRPr="003736AE">
        <w:t>částečně</w:t>
      </w:r>
      <w:r w:rsidRPr="002D5A40">
        <w:t xml:space="preserve"> ve výročních zprávách OPŽP.</w:t>
      </w:r>
    </w:p>
    <w:p w:rsidR="007879D0" w:rsidRPr="002D5A40" w:rsidRDefault="007879D0" w:rsidP="007879D0">
      <w:r w:rsidRPr="002D5A40">
        <w:t xml:space="preserve">Data na národní úrovni jsou k dispozici ve Statistických ročenkách – Životní prostředí, vydávaných MŽP ve spolupráci s ČSÚ.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+ 1 (data za příslušný rok n jsou k dispozici nejpozději do konce roku následujícího).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Nejistota</w:t>
      </w:r>
    </w:p>
    <w:p w:rsidR="007879D0" w:rsidRDefault="007879D0" w:rsidP="007879D0">
      <w:r w:rsidRPr="002D5A40">
        <w:t xml:space="preserve">Výroba elektřiny může být ovlivněna meteorologickými faktory (intenzita slunečního svitu, četnost výskytu větru s vhodnou rychlostí). </w:t>
      </w:r>
    </w:p>
    <w:p w:rsidR="004261E3" w:rsidRPr="002D5A40" w:rsidRDefault="004261E3" w:rsidP="007879D0"/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lastRenderedPageBreak/>
        <w:t>Data ČR 2007 – 2013</w:t>
      </w:r>
    </w:p>
    <w:p w:rsidR="007879D0" w:rsidRPr="002D5A40" w:rsidRDefault="007879D0" w:rsidP="007879D0">
      <w:r w:rsidRPr="002D5A40">
        <w:t>Žádoucí vývoj dat na národní úrovni je meziroční růst.</w:t>
      </w:r>
    </w:p>
    <w:tbl>
      <w:tblPr>
        <w:tblStyle w:val="Mkatabulky"/>
        <w:tblW w:w="8990" w:type="dxa"/>
        <w:tblLook w:val="04A0" w:firstRow="1" w:lastRow="0" w:firstColumn="1" w:lastColumn="0" w:noHBand="0" w:noVBand="1"/>
      </w:tblPr>
      <w:tblGrid>
        <w:gridCol w:w="2953"/>
        <w:gridCol w:w="899"/>
        <w:gridCol w:w="757"/>
        <w:gridCol w:w="757"/>
        <w:gridCol w:w="757"/>
        <w:gridCol w:w="757"/>
        <w:gridCol w:w="757"/>
        <w:gridCol w:w="729"/>
        <w:gridCol w:w="624"/>
      </w:tblGrid>
      <w:tr w:rsidR="007879D0" w:rsidRPr="002D5A40" w:rsidTr="003736AE">
        <w:tc>
          <w:tcPr>
            <w:tcW w:w="297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58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624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3736AE">
        <w:tc>
          <w:tcPr>
            <w:tcW w:w="297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Celková výroba elektřiny z OZE v 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GWh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3 412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3 732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4 655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5 903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7 246</w:t>
            </w:r>
          </w:p>
        </w:tc>
        <w:tc>
          <w:tcPr>
            <w:tcW w:w="73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8 056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9 309</w:t>
            </w:r>
          </w:p>
        </w:tc>
      </w:tr>
      <w:tr w:rsidR="007879D0" w:rsidRPr="002D5A40" w:rsidTr="003736AE">
        <w:tc>
          <w:tcPr>
            <w:tcW w:w="297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GWh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320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923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1 248</w:t>
            </w:r>
          </w:p>
        </w:tc>
        <w:tc>
          <w:tcPr>
            <w:tcW w:w="758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1 343</w:t>
            </w:r>
          </w:p>
        </w:tc>
        <w:tc>
          <w:tcPr>
            <w:tcW w:w="730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810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1 253</w:t>
            </w:r>
          </w:p>
        </w:tc>
      </w:tr>
      <w:tr w:rsidR="007879D0" w:rsidRPr="002D5A40" w:rsidTr="003736AE">
        <w:tc>
          <w:tcPr>
            <w:tcW w:w="297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GWh</w:t>
            </w:r>
          </w:p>
        </w:tc>
        <w:tc>
          <w:tcPr>
            <w:tcW w:w="4520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4 664</w:t>
            </w:r>
          </w:p>
        </w:tc>
        <w:tc>
          <w:tcPr>
            <w:tcW w:w="624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3736AE">
        <w:tc>
          <w:tcPr>
            <w:tcW w:w="2970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GWh</w:t>
            </w:r>
          </w:p>
        </w:tc>
        <w:tc>
          <w:tcPr>
            <w:tcW w:w="5144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5 897</w:t>
            </w:r>
          </w:p>
        </w:tc>
      </w:tr>
    </w:tbl>
    <w:p w:rsidR="007879D0" w:rsidRDefault="007879D0" w:rsidP="007879D0">
      <w:pPr>
        <w:rPr>
          <w:i/>
          <w:color w:val="0070C0"/>
        </w:rPr>
      </w:pPr>
    </w:p>
    <w:p w:rsidR="007879D0" w:rsidRPr="00E11CE0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E11CE0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21"/>
        <w:gridCol w:w="899"/>
        <w:gridCol w:w="732"/>
        <w:gridCol w:w="732"/>
      </w:tblGrid>
      <w:tr w:rsidR="007879D0" w:rsidRPr="002D5A40" w:rsidTr="003736AE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3736AE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>: Celkové zvýšení výroby elektřiny z OZE vyplývající z intervencí OPŽP (kumul. hodnota)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GWh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0,246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1,199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indikátoru k roku 2012</w:t>
      </w:r>
    </w:p>
    <w:p w:rsidR="007879D0" w:rsidRDefault="003736AE" w:rsidP="007879D0">
      <w:pPr>
        <w:rPr>
          <w:b/>
        </w:rPr>
      </w:pPr>
      <w:r>
        <w:rPr>
          <w:b/>
        </w:rPr>
        <w:t>IND = 100 (0,246 / 4 664</w:t>
      </w:r>
      <w:r w:rsidR="007879D0" w:rsidRPr="002D5A40">
        <w:rPr>
          <w:b/>
        </w:rPr>
        <w:t>) = 0,</w:t>
      </w:r>
      <w:r w:rsidR="007879D0">
        <w:rPr>
          <w:b/>
        </w:rPr>
        <w:t>00</w:t>
      </w:r>
      <w:r w:rsidR="007879D0" w:rsidRPr="002D5A40">
        <w:rPr>
          <w:b/>
        </w:rPr>
        <w:t>5 %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indikátoru k roku 2013</w:t>
      </w:r>
    </w:p>
    <w:p w:rsidR="007879D0" w:rsidRPr="002D5A40" w:rsidRDefault="003736AE" w:rsidP="007879D0">
      <w:pPr>
        <w:rPr>
          <w:b/>
        </w:rPr>
      </w:pPr>
      <w:r>
        <w:rPr>
          <w:b/>
        </w:rPr>
        <w:t>IND = 100 (</w:t>
      </w:r>
      <w:r w:rsidR="007879D0">
        <w:rPr>
          <w:b/>
        </w:rPr>
        <w:t>1</w:t>
      </w:r>
      <w:r w:rsidR="007879D0" w:rsidRPr="002D5A40">
        <w:rPr>
          <w:b/>
        </w:rPr>
        <w:t>,</w:t>
      </w:r>
      <w:r w:rsidR="007879D0">
        <w:rPr>
          <w:b/>
        </w:rPr>
        <w:t>199</w:t>
      </w:r>
      <w:r w:rsidR="007879D0" w:rsidRPr="002D5A40">
        <w:rPr>
          <w:b/>
        </w:rPr>
        <w:t xml:space="preserve"> / </w:t>
      </w:r>
      <w:r w:rsidR="007879D0">
        <w:rPr>
          <w:b/>
        </w:rPr>
        <w:t>5</w:t>
      </w:r>
      <w:r w:rsidR="007879D0" w:rsidRPr="002D5A40">
        <w:rPr>
          <w:b/>
        </w:rPr>
        <w:t xml:space="preserve"> </w:t>
      </w:r>
      <w:r w:rsidR="007879D0">
        <w:rPr>
          <w:b/>
        </w:rPr>
        <w:t>897</w:t>
      </w:r>
      <w:r w:rsidR="007879D0" w:rsidRPr="002D5A40">
        <w:rPr>
          <w:b/>
        </w:rPr>
        <w:t>) = 0,0</w:t>
      </w:r>
      <w:r w:rsidR="007879D0">
        <w:rPr>
          <w:b/>
        </w:rPr>
        <w:t>2</w:t>
      </w:r>
      <w:r w:rsidR="00222B2F">
        <w:rPr>
          <w:b/>
        </w:rPr>
        <w:t xml:space="preserve"> %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Závěr</w:t>
      </w: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 xml:space="preserve">Podíl zvýšení výroby elektřiny </w:t>
      </w:r>
      <w:r w:rsidR="00222B2F">
        <w:rPr>
          <w:b/>
        </w:rPr>
        <w:t>z obnovitelných zdrojů energie,</w:t>
      </w:r>
      <w:r w:rsidRPr="002D5A40">
        <w:rPr>
          <w:b/>
        </w:rPr>
        <w:t xml:space="preserve"> dosaženého prostřednictvím intervencí OP</w:t>
      </w:r>
      <w:r w:rsidR="00817320">
        <w:rPr>
          <w:b/>
        </w:rPr>
        <w:t xml:space="preserve"> </w:t>
      </w:r>
      <w:r w:rsidRPr="002D5A40">
        <w:rPr>
          <w:b/>
        </w:rPr>
        <w:t>ŽP, na celkovém zvýšení výroby elektřiny z obnovitelných zdro</w:t>
      </w:r>
      <w:r w:rsidR="00817320">
        <w:rPr>
          <w:b/>
        </w:rPr>
        <w:t>jů energie v ČR v období 2007-</w:t>
      </w:r>
      <w:r w:rsidRPr="002D5A40">
        <w:rPr>
          <w:b/>
        </w:rPr>
        <w:t>201</w:t>
      </w:r>
      <w:r>
        <w:rPr>
          <w:b/>
        </w:rPr>
        <w:t>3</w:t>
      </w:r>
      <w:r w:rsidRPr="002D5A40">
        <w:rPr>
          <w:b/>
        </w:rPr>
        <w:t xml:space="preserve"> je zcela zanedbatelný (0,0</w:t>
      </w:r>
      <w:r>
        <w:rPr>
          <w:b/>
        </w:rPr>
        <w:t>2</w:t>
      </w:r>
      <w:r w:rsidR="003736AE">
        <w:rPr>
          <w:b/>
        </w:rPr>
        <w:t xml:space="preserve"> </w:t>
      </w:r>
      <w:r w:rsidRPr="002D5A40">
        <w:rPr>
          <w:b/>
        </w:rPr>
        <w:t xml:space="preserve">%). 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>Výroční zprávy OP</w:t>
      </w:r>
      <w:r w:rsidR="00817320">
        <w:t xml:space="preserve"> </w:t>
      </w:r>
      <w:r w:rsidRPr="002D5A40">
        <w:t xml:space="preserve">ŽP: </w:t>
      </w:r>
      <w:hyperlink r:id="rId72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73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Pr="002D5A40" w:rsidRDefault="007879D0" w:rsidP="007879D0">
      <w:pPr>
        <w:rPr>
          <w:rStyle w:val="Hypertextovodkaz"/>
        </w:rPr>
      </w:pPr>
      <w:r w:rsidRPr="002D5A40">
        <w:rPr>
          <w:rStyle w:val="Hypertextovodkaz"/>
        </w:rPr>
        <w:br w:type="page"/>
      </w:r>
    </w:p>
    <w:p w:rsidR="007879D0" w:rsidRPr="00EF0901" w:rsidRDefault="007879D0" w:rsidP="00B60665">
      <w:pPr>
        <w:pStyle w:val="Nadpis5"/>
        <w:rPr>
          <w:vertAlign w:val="subscript"/>
        </w:rPr>
      </w:pPr>
      <w:bookmarkStart w:id="43" w:name="_Toc404179445"/>
      <w:r w:rsidRPr="00B60665">
        <w:lastRenderedPageBreak/>
        <w:t>Snížení</w:t>
      </w:r>
      <w:r w:rsidRPr="00EF0901">
        <w:t xml:space="preserve"> emisí CO</w:t>
      </w:r>
      <w:r w:rsidRPr="00EF0901">
        <w:rPr>
          <w:vertAlign w:val="subscript"/>
        </w:rPr>
        <w:t>2</w:t>
      </w:r>
      <w:bookmarkEnd w:id="43"/>
    </w:p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Cíl indikátoru</w:t>
      </w:r>
    </w:p>
    <w:p w:rsidR="007879D0" w:rsidRPr="002D5A40" w:rsidRDefault="007879D0" w:rsidP="007879D0">
      <w:r w:rsidRPr="002D5A40">
        <w:t>Indikátor stanovu</w:t>
      </w:r>
      <w:r w:rsidR="00B17940">
        <w:t>je dopad intervencí OP</w:t>
      </w:r>
      <w:r w:rsidR="00817320">
        <w:t xml:space="preserve"> </w:t>
      </w:r>
      <w:r w:rsidR="00B17940">
        <w:t>ŽP 2007-</w:t>
      </w:r>
      <w:r w:rsidRPr="002D5A40">
        <w:t>2013 na celkové snížení emisí oxidu uhličitého v</w:t>
      </w:r>
      <w:r w:rsidR="00817320">
        <w:t> </w:t>
      </w:r>
      <w:r w:rsidRPr="002D5A40">
        <w:t>ČR</w:t>
      </w:r>
      <w:r w:rsidR="00817320">
        <w:t>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Popis indikátoru</w:t>
      </w:r>
    </w:p>
    <w:p w:rsidR="007879D0" w:rsidRPr="002D5A40" w:rsidRDefault="007879D0" w:rsidP="007879D0">
      <w:r w:rsidRPr="002D5A40">
        <w:t>Podíl snížení emisí oxidu uhličitého dosaženého prostřednictvím intervencí OP</w:t>
      </w:r>
      <w:r w:rsidR="00817320">
        <w:t xml:space="preserve"> </w:t>
      </w:r>
      <w:r w:rsidRPr="002D5A40">
        <w:t>ŽP na celkovém snížení emisí oxidu uhličitého ze stacionárníc</w:t>
      </w:r>
      <w:r w:rsidR="003736AE">
        <w:t xml:space="preserve">h zdrojů v ČR v  daném časovém </w:t>
      </w:r>
      <w:r w:rsidRPr="002D5A40">
        <w:t>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Jednotka</w:t>
      </w:r>
    </w:p>
    <w:p w:rsidR="007879D0" w:rsidRPr="002D5A40" w:rsidRDefault="007879D0" w:rsidP="007879D0">
      <w:r w:rsidRPr="002D5A40">
        <w:t>Procento (%)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</w:t>
      </w:r>
    </w:p>
    <w:p w:rsidR="007879D0" w:rsidRPr="002D5A40" w:rsidRDefault="007879D0" w:rsidP="007879D0">
      <w:r w:rsidRPr="002D5A40">
        <w:t>Ind = 100 (X</w:t>
      </w:r>
      <w:r w:rsidRPr="002D5A40">
        <w:rPr>
          <w:vertAlign w:val="subscript"/>
        </w:rPr>
        <w:t>OPZP</w:t>
      </w:r>
      <w:r w:rsidRPr="002D5A40">
        <w:t xml:space="preserve"> / X</w:t>
      </w:r>
      <w:r w:rsidRPr="002D5A40">
        <w:rPr>
          <w:vertAlign w:val="subscript"/>
        </w:rPr>
        <w:t>celk</w:t>
      </w:r>
      <w:r w:rsidRPr="002D5A40">
        <w:t>)</w:t>
      </w:r>
    </w:p>
    <w:p w:rsidR="007879D0" w:rsidRPr="002D5A40" w:rsidRDefault="007879D0" w:rsidP="007879D0">
      <w:r w:rsidRPr="002D5A40">
        <w:t>Kde X</w:t>
      </w:r>
      <w:r w:rsidRPr="002D5A40">
        <w:rPr>
          <w:vertAlign w:val="subscript"/>
        </w:rPr>
        <w:t>OPZP</w:t>
      </w:r>
      <w:r w:rsidRPr="002D5A40">
        <w:t xml:space="preserve"> je snížení emisí v daném časovém období dosaže</w:t>
      </w:r>
      <w:r w:rsidR="003736AE">
        <w:t>né za podpory OP</w:t>
      </w:r>
      <w:r w:rsidR="00817320">
        <w:t xml:space="preserve"> </w:t>
      </w:r>
      <w:r w:rsidR="003736AE">
        <w:t>ŽP 2007-2013 a </w:t>
      </w:r>
      <w:r w:rsidRPr="002D5A40">
        <w:t>X</w:t>
      </w:r>
      <w:r w:rsidRPr="002D5A40">
        <w:rPr>
          <w:vertAlign w:val="subscript"/>
        </w:rPr>
        <w:t>celk</w:t>
      </w:r>
      <w:r w:rsidRPr="002D5A40">
        <w:t xml:space="preserve"> je celkové snížení emisí v ČR v daném časovém období.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Odvozené indikátory</w:t>
      </w:r>
    </w:p>
    <w:p w:rsidR="007879D0" w:rsidRPr="002D5A40" w:rsidRDefault="007879D0" w:rsidP="007879D0">
      <w:r w:rsidRPr="002D5A40">
        <w:t>Odvozené indikátory mohou být připraveny pro jednotlivé kategorie zdrojů emisí (energetika, doprava, průmysl).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Zdroj dat</w:t>
      </w:r>
    </w:p>
    <w:p w:rsidR="007879D0" w:rsidRPr="002D5A40" w:rsidRDefault="007879D0" w:rsidP="007879D0">
      <w:r w:rsidRPr="002D5A40">
        <w:t>Data týk</w:t>
      </w:r>
      <w:r w:rsidR="00B17940">
        <w:t>ající se intervencí OP</w:t>
      </w:r>
      <w:r w:rsidR="00817320">
        <w:t xml:space="preserve"> </w:t>
      </w:r>
      <w:r w:rsidR="00B17940">
        <w:t>ŽP 2007-</w:t>
      </w:r>
      <w:r w:rsidRPr="002D5A40">
        <w:t>2013 jsou k dispozici v Informačním systému</w:t>
      </w:r>
      <w:r w:rsidR="003736AE">
        <w:t xml:space="preserve"> SFŽP a </w:t>
      </w:r>
      <w:r>
        <w:t>částečně</w:t>
      </w:r>
      <w:r w:rsidRPr="002D5A40">
        <w:t xml:space="preserve"> ve výročních zprávách OP</w:t>
      </w:r>
      <w:r w:rsidR="00817320">
        <w:t xml:space="preserve"> </w:t>
      </w:r>
      <w:r w:rsidRPr="002D5A40">
        <w:t>ŽP.</w:t>
      </w:r>
    </w:p>
    <w:p w:rsidR="007879D0" w:rsidRPr="002D5A40" w:rsidRDefault="007879D0" w:rsidP="007879D0">
      <w:r w:rsidRPr="002D5A40">
        <w:t>Data na národní úrovni jsou k dispozici ve Statistických ročenkách – Životní prostředí, vydávaných MŽP ve spolupráci s ČSÚ. Podrobné informace o emisní bilanci skleníkových plynů lze nalézt na stránce Národního inventarizačního systému emisí skleníkových plynů.</w:t>
      </w:r>
    </w:p>
    <w:p w:rsidR="007879D0" w:rsidRPr="00E11CE0" w:rsidRDefault="007879D0" w:rsidP="007879D0">
      <w:pPr>
        <w:rPr>
          <w:b/>
          <w:color w:val="76923C" w:themeColor="accent3" w:themeShade="BF"/>
        </w:rPr>
      </w:pPr>
      <w:r w:rsidRPr="00E11CE0">
        <w:rPr>
          <w:b/>
          <w:color w:val="76923C" w:themeColor="accent3" w:themeShade="BF"/>
        </w:rPr>
        <w:t>Časová dostupnost dat</w:t>
      </w:r>
    </w:p>
    <w:p w:rsidR="007879D0" w:rsidRPr="002D5A40" w:rsidRDefault="007879D0" w:rsidP="007879D0">
      <w:r w:rsidRPr="002D5A40">
        <w:t>n + 2 (data za příslušný rok n jsou k dispozici nejpozději do konce druhého roku následujícího po roce n).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Nejistota</w:t>
      </w:r>
    </w:p>
    <w:p w:rsidR="007879D0" w:rsidRPr="002D5A40" w:rsidRDefault="007879D0" w:rsidP="007879D0">
      <w:r w:rsidRPr="002D5A40">
        <w:t xml:space="preserve">Samotná emisní bilance oxidu uhličitého je poměrně přesná, protože je počítána na základě spotřeby fosilních paliv. Spotřeba fosilních paliv je však ovlivněna jednak ekonomickými faktory, </w:t>
      </w:r>
      <w:r w:rsidRPr="002D5A40">
        <w:lastRenderedPageBreak/>
        <w:t>jednak meteorologickou situací v daném roce (délka a charakter topné sezóny), která může vyvolat i meziroční nárůst.</w:t>
      </w:r>
    </w:p>
    <w:p w:rsidR="007879D0" w:rsidRPr="00E11CE0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ČR 2007-</w:t>
      </w:r>
      <w:r w:rsidR="007879D0" w:rsidRPr="00E11CE0">
        <w:rPr>
          <w:b/>
          <w:i/>
          <w:color w:val="76923C" w:themeColor="accent3" w:themeShade="BF"/>
        </w:rPr>
        <w:t>2012</w:t>
      </w:r>
    </w:p>
    <w:p w:rsidR="007879D0" w:rsidRPr="002D5A40" w:rsidRDefault="007879D0" w:rsidP="007879D0">
      <w:r w:rsidRPr="002D5A40">
        <w:t>Žádoucí vývoj dat na národní úrovni je meziroční pokles, meziroční růst je vyznačen červenou barvou.</w:t>
      </w:r>
    </w:p>
    <w:tbl>
      <w:tblPr>
        <w:tblStyle w:val="Mkatabulky"/>
        <w:tblW w:w="9096" w:type="dxa"/>
        <w:tblLook w:val="04A0" w:firstRow="1" w:lastRow="0" w:firstColumn="1" w:lastColumn="0" w:noHBand="0" w:noVBand="1"/>
      </w:tblPr>
      <w:tblGrid>
        <w:gridCol w:w="3029"/>
        <w:gridCol w:w="899"/>
        <w:gridCol w:w="735"/>
        <w:gridCol w:w="736"/>
        <w:gridCol w:w="736"/>
        <w:gridCol w:w="736"/>
        <w:gridCol w:w="736"/>
        <w:gridCol w:w="736"/>
        <w:gridCol w:w="753"/>
      </w:tblGrid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2007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2008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2009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2010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2011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7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(2013)</w:t>
            </w: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Celkové emise v ČR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Mt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126,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117,1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107,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1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8</w:t>
            </w:r>
            <w:r w:rsidRPr="002D5A4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 xml:space="preserve">Meziroční změna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Mt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(-9,</w:t>
            </w:r>
            <w:r>
              <w:rPr>
                <w:sz w:val="18"/>
                <w:szCs w:val="18"/>
              </w:rPr>
              <w:t>5</w:t>
            </w:r>
            <w:r w:rsidRPr="002D5A40">
              <w:rPr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(-9,</w:t>
            </w:r>
            <w:r>
              <w:rPr>
                <w:sz w:val="18"/>
                <w:szCs w:val="18"/>
              </w:rPr>
              <w:t>3</w:t>
            </w:r>
            <w:r w:rsidRPr="002D5A40">
              <w:rPr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</w:t>
            </w:r>
            <w:r w:rsidRPr="002D5A40">
              <w:rPr>
                <w:color w:val="FF0000"/>
                <w:sz w:val="18"/>
                <w:szCs w:val="18"/>
              </w:rPr>
              <w:t>,0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(-</w:t>
            </w:r>
            <w:r>
              <w:rPr>
                <w:sz w:val="18"/>
                <w:szCs w:val="18"/>
              </w:rPr>
              <w:t>3,8</w:t>
            </w:r>
            <w:r w:rsidRPr="002D5A40">
              <w:rPr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(-4,0)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2012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Mt</w:t>
            </w:r>
          </w:p>
        </w:tc>
        <w:tc>
          <w:tcPr>
            <w:tcW w:w="4422" w:type="dxa"/>
            <w:gridSpan w:val="6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(- 2</w:t>
            </w:r>
            <w:r>
              <w:rPr>
                <w:b/>
                <w:sz w:val="18"/>
                <w:szCs w:val="18"/>
              </w:rPr>
              <w:t>2</w:t>
            </w:r>
            <w:r w:rsidRPr="002D5A40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6</w:t>
            </w:r>
            <w:r w:rsidRPr="002D5A4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7879D0" w:rsidRPr="002D5A40" w:rsidTr="003736AE">
        <w:tc>
          <w:tcPr>
            <w:tcW w:w="3061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X</w:t>
            </w:r>
            <w:r w:rsidRPr="002D5A40">
              <w:rPr>
                <w:b/>
                <w:sz w:val="18"/>
                <w:szCs w:val="18"/>
                <w:vertAlign w:val="subscript"/>
              </w:rPr>
              <w:t>celk</w:t>
            </w:r>
            <w:r w:rsidR="00B17940">
              <w:rPr>
                <w:b/>
                <w:sz w:val="18"/>
                <w:szCs w:val="18"/>
              </w:rPr>
              <w:t>: 2007-</w:t>
            </w:r>
            <w:r w:rsidRPr="002D5A40">
              <w:rPr>
                <w:b/>
                <w:sz w:val="18"/>
                <w:szCs w:val="18"/>
              </w:rPr>
              <w:t>2013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b/>
                <w:sz w:val="18"/>
                <w:szCs w:val="18"/>
              </w:rPr>
            </w:pPr>
            <w:r w:rsidRPr="002D5A40">
              <w:rPr>
                <w:b/>
                <w:sz w:val="18"/>
                <w:szCs w:val="18"/>
              </w:rPr>
              <w:t>Mt</w:t>
            </w:r>
          </w:p>
        </w:tc>
        <w:tc>
          <w:tcPr>
            <w:tcW w:w="5159" w:type="dxa"/>
            <w:gridSpan w:val="7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2D5A40" w:rsidRDefault="007879D0" w:rsidP="007879D0">
      <w:r w:rsidRPr="002D5A40">
        <w:t>Data za rok 2013 nejsou dosud k dispozici.</w:t>
      </w:r>
    </w:p>
    <w:p w:rsidR="007879D0" w:rsidRPr="00E11CE0" w:rsidRDefault="00B17940" w:rsidP="007879D0">
      <w:pPr>
        <w:rPr>
          <w:b/>
          <w:i/>
          <w:color w:val="76923C" w:themeColor="accent3" w:themeShade="BF"/>
        </w:rPr>
      </w:pPr>
      <w:r>
        <w:rPr>
          <w:b/>
          <w:i/>
          <w:color w:val="76923C" w:themeColor="accent3" w:themeShade="BF"/>
        </w:rPr>
        <w:t>Data OPŽP 2007-</w:t>
      </w:r>
      <w:r w:rsidR="007879D0" w:rsidRPr="00E11CE0">
        <w:rPr>
          <w:b/>
          <w:i/>
          <w:color w:val="76923C" w:themeColor="accent3" w:themeShade="BF"/>
        </w:rPr>
        <w:t>2013</w:t>
      </w:r>
    </w:p>
    <w:tbl>
      <w:tblPr>
        <w:tblStyle w:val="Mkatabulky"/>
        <w:tblW w:w="6084" w:type="dxa"/>
        <w:tblLook w:val="04A0" w:firstRow="1" w:lastRow="0" w:firstColumn="1" w:lastColumn="0" w:noHBand="0" w:noVBand="1"/>
      </w:tblPr>
      <w:tblGrid>
        <w:gridCol w:w="3701"/>
        <w:gridCol w:w="899"/>
        <w:gridCol w:w="732"/>
        <w:gridCol w:w="752"/>
      </w:tblGrid>
      <w:tr w:rsidR="007879D0" w:rsidRPr="002D5A40" w:rsidTr="003736AE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Jednotka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2012</w:t>
            </w:r>
          </w:p>
        </w:tc>
        <w:tc>
          <w:tcPr>
            <w:tcW w:w="733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2013</w:t>
            </w:r>
          </w:p>
        </w:tc>
      </w:tr>
      <w:tr w:rsidR="007879D0" w:rsidRPr="002D5A40" w:rsidTr="003736AE">
        <w:tc>
          <w:tcPr>
            <w:tcW w:w="374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18"/>
                <w:szCs w:val="18"/>
              </w:rPr>
            </w:pPr>
            <w:r w:rsidRPr="002D5A40">
              <w:t>X</w:t>
            </w:r>
            <w:r w:rsidRPr="002D5A40">
              <w:rPr>
                <w:vertAlign w:val="subscript"/>
              </w:rPr>
              <w:t>OPZP</w:t>
            </w:r>
            <w:r w:rsidRPr="002D5A40">
              <w:rPr>
                <w:sz w:val="18"/>
                <w:szCs w:val="18"/>
              </w:rPr>
              <w:t xml:space="preserve">: Snížení emisí za podpory OPŽP </w:t>
            </w:r>
          </w:p>
        </w:tc>
        <w:tc>
          <w:tcPr>
            <w:tcW w:w="876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center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Mt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0,022</w:t>
            </w:r>
          </w:p>
        </w:tc>
        <w:tc>
          <w:tcPr>
            <w:tcW w:w="733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jc w:val="right"/>
              <w:rPr>
                <w:sz w:val="18"/>
                <w:szCs w:val="18"/>
              </w:rPr>
            </w:pPr>
            <w:r w:rsidRPr="002D5A40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998</w:t>
            </w:r>
          </w:p>
        </w:tc>
      </w:tr>
    </w:tbl>
    <w:p w:rsidR="007879D0" w:rsidRPr="002D5A40" w:rsidRDefault="007879D0" w:rsidP="007879D0">
      <w:pPr>
        <w:rPr>
          <w:i/>
          <w:color w:val="0070C0"/>
        </w:rPr>
      </w:pP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Výpočet hodnoty indikátoru k roku 2012</w:t>
      </w:r>
    </w:p>
    <w:p w:rsidR="007879D0" w:rsidRDefault="007879D0" w:rsidP="007879D0">
      <w:pPr>
        <w:rPr>
          <w:b/>
        </w:rPr>
      </w:pPr>
      <w:r w:rsidRPr="002D5A40">
        <w:rPr>
          <w:b/>
        </w:rPr>
        <w:t xml:space="preserve">IND = </w:t>
      </w:r>
      <w:r w:rsidR="003736AE">
        <w:rPr>
          <w:b/>
        </w:rPr>
        <w:t>100 (</w:t>
      </w:r>
      <w:r w:rsidRPr="002D5A40">
        <w:rPr>
          <w:b/>
        </w:rPr>
        <w:t>0,022 / 2</w:t>
      </w:r>
      <w:r>
        <w:rPr>
          <w:b/>
        </w:rPr>
        <w:t>2</w:t>
      </w:r>
      <w:r w:rsidRPr="002D5A40">
        <w:rPr>
          <w:b/>
        </w:rPr>
        <w:t>,</w:t>
      </w:r>
      <w:r>
        <w:rPr>
          <w:b/>
        </w:rPr>
        <w:t>6</w:t>
      </w:r>
      <w:r w:rsidRPr="002D5A40">
        <w:rPr>
          <w:b/>
        </w:rPr>
        <w:t>) = 0,</w:t>
      </w:r>
      <w:r>
        <w:rPr>
          <w:b/>
        </w:rPr>
        <w:t>097</w:t>
      </w:r>
      <w:r w:rsidRPr="002D5A40">
        <w:rPr>
          <w:b/>
        </w:rPr>
        <w:t xml:space="preserve"> %</w:t>
      </w:r>
    </w:p>
    <w:p w:rsidR="007879D0" w:rsidRPr="00B17940" w:rsidRDefault="007879D0" w:rsidP="007879D0">
      <w:pPr>
        <w:rPr>
          <w:b/>
          <w:i/>
          <w:color w:val="76923C" w:themeColor="accent3" w:themeShade="BF"/>
        </w:rPr>
      </w:pPr>
      <w:r w:rsidRPr="00B17940">
        <w:rPr>
          <w:b/>
          <w:i/>
          <w:color w:val="76923C" w:themeColor="accent3" w:themeShade="BF"/>
        </w:rPr>
        <w:t>Odhad hodnoty indikátoru k roku 2012</w:t>
      </w:r>
    </w:p>
    <w:p w:rsidR="007879D0" w:rsidRPr="002D5A40" w:rsidRDefault="003736AE" w:rsidP="007879D0">
      <w:pPr>
        <w:rPr>
          <w:b/>
        </w:rPr>
      </w:pPr>
      <w:r>
        <w:rPr>
          <w:b/>
        </w:rPr>
        <w:t>IND = 100 (</w:t>
      </w:r>
      <w:r w:rsidR="007879D0" w:rsidRPr="002D5A40">
        <w:rPr>
          <w:b/>
        </w:rPr>
        <w:t>0,0</w:t>
      </w:r>
      <w:r w:rsidR="007879D0">
        <w:rPr>
          <w:b/>
        </w:rPr>
        <w:t>998</w:t>
      </w:r>
      <w:r w:rsidR="007879D0" w:rsidRPr="002D5A40">
        <w:rPr>
          <w:b/>
        </w:rPr>
        <w:t xml:space="preserve"> / 2</w:t>
      </w:r>
      <w:r w:rsidR="007879D0">
        <w:rPr>
          <w:b/>
        </w:rPr>
        <w:t>2</w:t>
      </w:r>
      <w:r w:rsidR="007879D0" w:rsidRPr="002D5A40">
        <w:rPr>
          <w:b/>
        </w:rPr>
        <w:t>,</w:t>
      </w:r>
      <w:r w:rsidR="007879D0">
        <w:rPr>
          <w:b/>
        </w:rPr>
        <w:t>6</w:t>
      </w:r>
      <w:r w:rsidR="007879D0" w:rsidRPr="002D5A40">
        <w:rPr>
          <w:b/>
        </w:rPr>
        <w:t>) = 0,</w:t>
      </w:r>
      <w:r w:rsidR="007879D0">
        <w:rPr>
          <w:b/>
        </w:rPr>
        <w:t>44</w:t>
      </w:r>
      <w:r>
        <w:rPr>
          <w:b/>
        </w:rPr>
        <w:t xml:space="preserve"> </w:t>
      </w:r>
      <w:r w:rsidR="00222B2F">
        <w:rPr>
          <w:b/>
        </w:rPr>
        <w:t>%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Závěr</w:t>
      </w:r>
    </w:p>
    <w:p w:rsidR="007879D0" w:rsidRPr="00E11CE0" w:rsidRDefault="007879D0" w:rsidP="007879D0">
      <w:pPr>
        <w:rPr>
          <w:b/>
        </w:rPr>
      </w:pPr>
      <w:r w:rsidRPr="002D5A40">
        <w:rPr>
          <w:b/>
        </w:rPr>
        <w:t xml:space="preserve">Podíl </w:t>
      </w:r>
      <w:r w:rsidR="003736AE">
        <w:rPr>
          <w:b/>
        </w:rPr>
        <w:t>snížení emisí oxidu uhličitého,</w:t>
      </w:r>
      <w:r w:rsidRPr="002D5A40">
        <w:rPr>
          <w:b/>
        </w:rPr>
        <w:t xml:space="preserve"> dosaženého pros</w:t>
      </w:r>
      <w:r w:rsidR="00B17940">
        <w:rPr>
          <w:b/>
        </w:rPr>
        <w:t>třednictvím intervencí OP</w:t>
      </w:r>
      <w:r w:rsidR="00817320">
        <w:rPr>
          <w:b/>
        </w:rPr>
        <w:t xml:space="preserve"> </w:t>
      </w:r>
      <w:r w:rsidR="00B17940">
        <w:rPr>
          <w:b/>
        </w:rPr>
        <w:t>ŽP, na </w:t>
      </w:r>
      <w:r w:rsidRPr="002D5A40">
        <w:rPr>
          <w:b/>
        </w:rPr>
        <w:t>celkovém snížení emisí oxidu uhličitého v ČR v období 200</w:t>
      </w:r>
      <w:r w:rsidR="004F66F9">
        <w:rPr>
          <w:b/>
        </w:rPr>
        <w:t>7-</w:t>
      </w:r>
      <w:r w:rsidRPr="002D5A40">
        <w:rPr>
          <w:b/>
        </w:rPr>
        <w:t xml:space="preserve">2012 je </w:t>
      </w:r>
      <w:r>
        <w:rPr>
          <w:b/>
        </w:rPr>
        <w:t>zcela zanedb</w:t>
      </w:r>
      <w:r w:rsidRPr="002D5A40">
        <w:rPr>
          <w:b/>
        </w:rPr>
        <w:t>atelný (0,</w:t>
      </w:r>
      <w:r>
        <w:rPr>
          <w:b/>
        </w:rPr>
        <w:t>1</w:t>
      </w:r>
      <w:r w:rsidRPr="002D5A40">
        <w:rPr>
          <w:b/>
        </w:rPr>
        <w:t xml:space="preserve"> %). </w:t>
      </w:r>
      <w:r>
        <w:rPr>
          <w:b/>
        </w:rPr>
        <w:t>Situace se příliš nezmění ani v roce 2013.</w:t>
      </w:r>
    </w:p>
    <w:p w:rsidR="007879D0" w:rsidRPr="00E11CE0" w:rsidRDefault="007879D0" w:rsidP="007879D0">
      <w:pPr>
        <w:rPr>
          <w:b/>
          <w:i/>
          <w:color w:val="76923C" w:themeColor="accent3" w:themeShade="BF"/>
        </w:rPr>
      </w:pPr>
      <w:r w:rsidRPr="00E11CE0">
        <w:rPr>
          <w:b/>
          <w:i/>
          <w:color w:val="76923C" w:themeColor="accent3" w:themeShade="BF"/>
        </w:rPr>
        <w:t>Reference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</w:pPr>
      <w:r w:rsidRPr="002D5A40">
        <w:t>Výroční zprávy OP</w:t>
      </w:r>
      <w:r w:rsidR="00817320">
        <w:t xml:space="preserve"> </w:t>
      </w:r>
      <w:r w:rsidRPr="002D5A40">
        <w:t xml:space="preserve">ŽP: </w:t>
      </w:r>
      <w:hyperlink r:id="rId74" w:history="1">
        <w:r w:rsidRPr="002D5A40">
          <w:rPr>
            <w:rStyle w:val="Hypertextovodkaz"/>
          </w:rPr>
          <w:t>http://www.opzp.cz/sekce/522/vyrocni-zpravy/</w:t>
        </w:r>
      </w:hyperlink>
      <w:r w:rsidRPr="002D5A40">
        <w:t xml:space="preserve"> </w:t>
      </w:r>
    </w:p>
    <w:p w:rsidR="007879D0" w:rsidRPr="002D5A4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</w:pPr>
      <w:r w:rsidRPr="002D5A40">
        <w:t xml:space="preserve">Národní inventarizační systém emisí skleníkových plynů: </w:t>
      </w:r>
      <w:hyperlink r:id="rId75" w:history="1">
        <w:r w:rsidRPr="002D5A40">
          <w:rPr>
            <w:rStyle w:val="Hypertextovodkaz"/>
          </w:rPr>
          <w:t>http://portal.chmi.cz/files/portal/docs/uoco/oez/nis/nis_uv_cz.html</w:t>
        </w:r>
      </w:hyperlink>
      <w:r w:rsidRPr="002D5A40">
        <w:t xml:space="preserve"> </w:t>
      </w:r>
    </w:p>
    <w:p w:rsidR="007879D0" w:rsidRDefault="007879D0" w:rsidP="007879D0">
      <w:pPr>
        <w:pStyle w:val="Odstavecseseznamem"/>
        <w:numPr>
          <w:ilvl w:val="0"/>
          <w:numId w:val="19"/>
        </w:numPr>
        <w:spacing w:after="160" w:line="259" w:lineRule="auto"/>
        <w:jc w:val="left"/>
        <w:rPr>
          <w:rStyle w:val="Hypertextovodkaz"/>
        </w:rPr>
      </w:pPr>
      <w:r w:rsidRPr="002D5A40">
        <w:t xml:space="preserve">Statistické ročenky – Životní prostředí: </w:t>
      </w:r>
      <w:hyperlink r:id="rId76" w:history="1">
        <w:r w:rsidRPr="002D5A40">
          <w:rPr>
            <w:rStyle w:val="Hypertextovodkaz"/>
          </w:rPr>
          <w:t>http://www.mzp.cz/cz/statisticka_rocenka_zivotniho_prostredi_publikace</w:t>
        </w:r>
      </w:hyperlink>
    </w:p>
    <w:p w:rsidR="007879D0" w:rsidRDefault="007879D0" w:rsidP="007879D0">
      <w:pPr>
        <w:rPr>
          <w:rStyle w:val="Hypertextovodkaz"/>
        </w:rPr>
      </w:pPr>
      <w:r>
        <w:rPr>
          <w:rStyle w:val="Hypertextovodkaz"/>
        </w:rPr>
        <w:br w:type="page"/>
      </w:r>
    </w:p>
    <w:p w:rsidR="007879D0" w:rsidRPr="00FC7D3E" w:rsidRDefault="007879D0" w:rsidP="00E11CE0">
      <w:pPr>
        <w:pStyle w:val="Nadpis1"/>
      </w:pPr>
      <w:bookmarkStart w:id="44" w:name="_Toc404179363"/>
      <w:bookmarkStart w:id="45" w:name="_Toc404179446"/>
      <w:r w:rsidRPr="00E11CE0">
        <w:lastRenderedPageBreak/>
        <w:t>Závěr</w:t>
      </w:r>
      <w:bookmarkEnd w:id="44"/>
      <w:bookmarkEnd w:id="45"/>
    </w:p>
    <w:p w:rsidR="007879D0" w:rsidRDefault="007879D0" w:rsidP="007879D0">
      <w:r w:rsidRPr="002D5A40">
        <w:t>Výsledky datové analýzy navržených makroskopických nadstavbových indikátorů dopadu OP</w:t>
      </w:r>
      <w:r w:rsidR="00817320">
        <w:t xml:space="preserve"> </w:t>
      </w:r>
      <w:r w:rsidRPr="002D5A40">
        <w:t>ŽP 2007-2013 pro období do konce</w:t>
      </w:r>
      <w:r>
        <w:t xml:space="preserve"> října 2014 </w:t>
      </w:r>
      <w:r w:rsidRPr="002D5A40">
        <w:t>jsou uvedeny v následující tabulce: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3052"/>
        <w:gridCol w:w="2098"/>
        <w:gridCol w:w="1701"/>
        <w:gridCol w:w="2268"/>
        <w:gridCol w:w="9"/>
      </w:tblGrid>
      <w:tr w:rsidR="007879D0" w:rsidRPr="002D5A40" w:rsidTr="003736AE">
        <w:tc>
          <w:tcPr>
            <w:tcW w:w="3052" w:type="dxa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 w:rsidRPr="002D5A40">
              <w:rPr>
                <w:sz w:val="20"/>
                <w:szCs w:val="20"/>
              </w:rPr>
              <w:t>Indikátor</w:t>
            </w:r>
          </w:p>
        </w:tc>
        <w:tc>
          <w:tcPr>
            <w:tcW w:w="2098" w:type="dxa"/>
            <w:shd w:val="clear" w:color="auto" w:fill="C2D69B" w:themeFill="accent3" w:themeFillTint="99"/>
          </w:tcPr>
          <w:p w:rsidR="007879D0" w:rsidRPr="00A61A59" w:rsidRDefault="007879D0" w:rsidP="003736AE">
            <w:pPr>
              <w:rPr>
                <w:sz w:val="20"/>
                <w:szCs w:val="20"/>
              </w:rPr>
            </w:pPr>
            <w:r w:rsidRPr="00A61A59">
              <w:rPr>
                <w:sz w:val="20"/>
                <w:szCs w:val="20"/>
              </w:rPr>
              <w:t>Podíl OP</w:t>
            </w:r>
            <w:r w:rsidR="003736AE">
              <w:rPr>
                <w:sz w:val="20"/>
                <w:szCs w:val="20"/>
              </w:rPr>
              <w:t xml:space="preserve"> </w:t>
            </w:r>
            <w:r w:rsidRPr="00A61A59">
              <w:rPr>
                <w:sz w:val="20"/>
                <w:szCs w:val="20"/>
              </w:rPr>
              <w:t>ŽP na celkové nár</w:t>
            </w:r>
            <w:r>
              <w:rPr>
                <w:sz w:val="20"/>
                <w:szCs w:val="20"/>
              </w:rPr>
              <w:t>.</w:t>
            </w:r>
            <w:r w:rsidR="003736AE">
              <w:rPr>
                <w:sz w:val="20"/>
                <w:szCs w:val="20"/>
              </w:rPr>
              <w:t xml:space="preserve"> změně 2007-</w:t>
            </w:r>
            <w:r w:rsidRPr="00A61A59">
              <w:rPr>
                <w:sz w:val="20"/>
                <w:szCs w:val="20"/>
              </w:rPr>
              <w:t>2013 (%)</w:t>
            </w:r>
          </w:p>
        </w:tc>
        <w:tc>
          <w:tcPr>
            <w:tcW w:w="1701" w:type="dxa"/>
            <w:shd w:val="clear" w:color="auto" w:fill="C2D69B" w:themeFill="accent3" w:themeFillTint="99"/>
          </w:tcPr>
          <w:p w:rsidR="007879D0" w:rsidRPr="002D5A40" w:rsidRDefault="003736AE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Přínos </w:t>
            </w:r>
            <w:r w:rsidR="007879D0">
              <w:rPr>
                <w:sz w:val="20"/>
                <w:szCs w:val="20"/>
              </w:rPr>
              <w:t>intervencí OP</w:t>
            </w:r>
            <w:r w:rsidR="00817320">
              <w:rPr>
                <w:sz w:val="20"/>
                <w:szCs w:val="20"/>
              </w:rPr>
              <w:t xml:space="preserve"> </w:t>
            </w:r>
            <w:r w:rsidR="007879D0">
              <w:rPr>
                <w:sz w:val="20"/>
                <w:szCs w:val="20"/>
              </w:rPr>
              <w:t>ŽP na národní úrovni</w:t>
            </w:r>
          </w:p>
        </w:tc>
        <w:tc>
          <w:tcPr>
            <w:tcW w:w="2277" w:type="dxa"/>
            <w:gridSpan w:val="2"/>
            <w:shd w:val="clear" w:color="auto" w:fill="C2D69B" w:themeFill="accent3" w:themeFillTint="99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 w:rsidRPr="002D5A40">
              <w:rPr>
                <w:sz w:val="20"/>
                <w:szCs w:val="20"/>
              </w:rPr>
              <w:t>Poznámka</w:t>
            </w:r>
          </w:p>
        </w:tc>
      </w:tr>
      <w:tr w:rsidR="007879D0" w:rsidRPr="002D5A40" w:rsidTr="003736AE">
        <w:tc>
          <w:tcPr>
            <w:tcW w:w="9128" w:type="dxa"/>
            <w:gridSpan w:val="5"/>
            <w:shd w:val="clear" w:color="auto" w:fill="76923C" w:themeFill="accent3" w:themeFillShade="BF"/>
          </w:tcPr>
          <w:p w:rsidR="007879D0" w:rsidRPr="00120DC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120DC0">
              <w:rPr>
                <w:b/>
                <w:sz w:val="20"/>
                <w:szCs w:val="20"/>
              </w:rPr>
              <w:t>Voda</w:t>
            </w: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Délka nových kanalizačních sítí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51,3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Rozhodující</w:t>
            </w:r>
          </w:p>
        </w:tc>
        <w:tc>
          <w:tcPr>
            <w:tcW w:w="2277" w:type="dxa"/>
            <w:gridSpan w:val="2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zanedbatelný</w:t>
            </w: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nových ČOV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916496">
              <w:rPr>
                <w:b/>
                <w:sz w:val="20"/>
                <w:szCs w:val="20"/>
              </w:rPr>
              <w:t>40,7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Velmi významný</w:t>
            </w:r>
          </w:p>
        </w:tc>
        <w:tc>
          <w:tcPr>
            <w:tcW w:w="2277" w:type="dxa"/>
            <w:gridSpan w:val="2"/>
            <w:vMerge w:val="restart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obyvatel nově připojených k vyhovující ČOV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27,9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Velmi významný</w:t>
            </w:r>
          </w:p>
        </w:tc>
        <w:tc>
          <w:tcPr>
            <w:tcW w:w="2277" w:type="dxa"/>
            <w:gridSpan w:val="2"/>
            <w:vMerge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3276B0" w:rsidRDefault="007879D0" w:rsidP="007B3CDE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Odstraněné znečištění z odpadních vod v BSK</w:t>
            </w:r>
            <w:r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098" w:type="dxa"/>
            <w:vMerge w:val="restart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úrovni 100 % celkové změny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Rozhodující </w:t>
            </w:r>
          </w:p>
        </w:tc>
        <w:tc>
          <w:tcPr>
            <w:tcW w:w="2277" w:type="dxa"/>
            <w:gridSpan w:val="2"/>
            <w:vMerge w:val="restart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velmi vysoký (meziroční kolísání hodnot na národní úrovni)</w:t>
            </w: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Odstraněné znečištění z odpadních vod v CHSK</w:t>
            </w:r>
            <w:r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2098" w:type="dxa"/>
            <w:vMerge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Odstraněné znečištění z odpadních vod v P</w:t>
            </w:r>
            <w:r>
              <w:rPr>
                <w:sz w:val="20"/>
                <w:szCs w:val="20"/>
                <w:vertAlign w:val="subscript"/>
              </w:rPr>
              <w:t>celk.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D66D59" w:rsidRDefault="007879D0" w:rsidP="007B3CD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66D59">
              <w:rPr>
                <w:b/>
                <w:color w:val="000000" w:themeColor="text1"/>
                <w:sz w:val="20"/>
                <w:szCs w:val="20"/>
              </w:rPr>
              <w:t xml:space="preserve">Nelze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přesně </w:t>
            </w:r>
            <w:r w:rsidRPr="00D66D59">
              <w:rPr>
                <w:b/>
                <w:color w:val="000000" w:themeColor="text1"/>
                <w:sz w:val="20"/>
                <w:szCs w:val="20"/>
              </w:rPr>
              <w:t xml:space="preserve">vyčíslit </w:t>
            </w:r>
            <w:r w:rsidRPr="00735D50">
              <w:rPr>
                <w:color w:val="000000" w:themeColor="text1"/>
                <w:sz w:val="20"/>
                <w:szCs w:val="20"/>
              </w:rPr>
              <w:t>(cca 12 % celk</w:t>
            </w:r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735D50">
              <w:rPr>
                <w:color w:val="000000" w:themeColor="text1"/>
                <w:sz w:val="20"/>
                <w:szCs w:val="20"/>
              </w:rPr>
              <w:t>vypouštěného znečištění)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D66D59" w:rsidRDefault="007879D0" w:rsidP="007B3CD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Významný </w:t>
            </w:r>
          </w:p>
        </w:tc>
        <w:tc>
          <w:tcPr>
            <w:tcW w:w="2277" w:type="dxa"/>
            <w:gridSpan w:val="2"/>
            <w:shd w:val="clear" w:color="auto" w:fill="EAF1DD" w:themeFill="accent3" w:themeFillTint="33"/>
          </w:tcPr>
          <w:p w:rsidR="007879D0" w:rsidRPr="00D66D59" w:rsidRDefault="007879D0" w:rsidP="007B3CDE">
            <w:pPr>
              <w:rPr>
                <w:color w:val="000000" w:themeColor="text1"/>
                <w:sz w:val="20"/>
                <w:szCs w:val="20"/>
              </w:rPr>
            </w:pPr>
            <w:r w:rsidRPr="00D66D59">
              <w:rPr>
                <w:color w:val="000000" w:themeColor="text1"/>
                <w:sz w:val="20"/>
                <w:szCs w:val="20"/>
              </w:rPr>
              <w:t>Rostoucí trend na národní úrovni</w:t>
            </w: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Odstraněné znečištění z odpadních vod v N</w:t>
            </w:r>
            <w:r>
              <w:rPr>
                <w:sz w:val="20"/>
                <w:szCs w:val="20"/>
                <w:vertAlign w:val="subscript"/>
              </w:rPr>
              <w:t>anorg.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735D50" w:rsidRDefault="007879D0" w:rsidP="007B3CD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35D50">
              <w:rPr>
                <w:b/>
                <w:color w:val="000000" w:themeColor="text1"/>
                <w:sz w:val="20"/>
                <w:szCs w:val="20"/>
              </w:rPr>
              <w:t>Nelze vyčíslit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735D50" w:rsidRDefault="007879D0" w:rsidP="007B3CD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shd w:val="clear" w:color="auto" w:fill="EAF1DD" w:themeFill="accent3" w:themeFillTint="33"/>
          </w:tcPr>
          <w:p w:rsidR="007879D0" w:rsidRPr="00735D50" w:rsidRDefault="007879D0" w:rsidP="007B3CDE">
            <w:pPr>
              <w:rPr>
                <w:color w:val="000000" w:themeColor="text1"/>
                <w:sz w:val="20"/>
                <w:szCs w:val="20"/>
              </w:rPr>
            </w:pPr>
            <w:r w:rsidRPr="00735D50">
              <w:rPr>
                <w:color w:val="000000" w:themeColor="text1"/>
                <w:sz w:val="20"/>
                <w:szCs w:val="20"/>
              </w:rPr>
              <w:t>Nekompatibilita dat OP</w:t>
            </w:r>
            <w:r w:rsidR="0081732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5D50">
              <w:rPr>
                <w:color w:val="000000" w:themeColor="text1"/>
                <w:sz w:val="20"/>
                <w:szCs w:val="20"/>
              </w:rPr>
              <w:t>ŽP s daty na národní úrovni</w:t>
            </w: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Délka nových vodovodních sítí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 w:val="restart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zanedbatelný</w:t>
            </w: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obyvatel nově připojených na vodovod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  <w:shd w:val="clear" w:color="auto" w:fill="76923C" w:themeFill="accent3" w:themeFillShade="BF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9128" w:type="dxa"/>
            <w:gridSpan w:val="5"/>
            <w:shd w:val="clear" w:color="auto" w:fill="76923C" w:themeFill="accent3" w:themeFillShade="BF"/>
          </w:tcPr>
          <w:p w:rsidR="007879D0" w:rsidRPr="00120DC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120DC0">
              <w:rPr>
                <w:b/>
                <w:sz w:val="20"/>
                <w:szCs w:val="20"/>
              </w:rPr>
              <w:t>Ovzduší</w:t>
            </w: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TZL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úrovni 100 % národní změny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Rozhodující </w:t>
            </w:r>
          </w:p>
        </w:tc>
        <w:tc>
          <w:tcPr>
            <w:tcW w:w="2277" w:type="dxa"/>
            <w:gridSpan w:val="2"/>
            <w:vMerge w:val="restart"/>
            <w:vAlign w:val="center"/>
          </w:tcPr>
          <w:p w:rsidR="007879D0" w:rsidRPr="002D5A40" w:rsidRDefault="007879D0" w:rsidP="007B3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Stupeň nejistoty dat je vysoký (nejistota národní emisní inventury a vliv meteorologických podmínek)</w:t>
            </w: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TZL z malých stacionárních zdrojů (REZZO3)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D66D59">
              <w:rPr>
                <w:b/>
                <w:color w:val="000000" w:themeColor="text1"/>
                <w:sz w:val="20"/>
                <w:szCs w:val="20"/>
              </w:rPr>
              <w:t xml:space="preserve">Nelze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přesně </w:t>
            </w:r>
            <w:r w:rsidRPr="00D66D59">
              <w:rPr>
                <w:b/>
                <w:color w:val="000000" w:themeColor="text1"/>
                <w:sz w:val="20"/>
                <w:szCs w:val="20"/>
              </w:rPr>
              <w:t xml:space="preserve">vyčíslit </w:t>
            </w:r>
            <w:r w:rsidRPr="00735D50">
              <w:rPr>
                <w:color w:val="000000" w:themeColor="text1"/>
                <w:sz w:val="20"/>
                <w:szCs w:val="20"/>
              </w:rPr>
              <w:t xml:space="preserve">(cca 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735D50">
              <w:rPr>
                <w:color w:val="000000" w:themeColor="text1"/>
                <w:sz w:val="20"/>
                <w:szCs w:val="20"/>
              </w:rPr>
              <w:t xml:space="preserve"> % celk</w:t>
            </w:r>
            <w:r w:rsidR="003736AE">
              <w:rPr>
                <w:color w:val="000000" w:themeColor="text1"/>
                <w:sz w:val="20"/>
                <w:szCs w:val="20"/>
              </w:rPr>
              <w:t>ových</w:t>
            </w:r>
            <w:r>
              <w:rPr>
                <w:color w:val="000000" w:themeColor="text1"/>
                <w:sz w:val="20"/>
                <w:szCs w:val="20"/>
              </w:rPr>
              <w:t xml:space="preserve"> emisí</w:t>
            </w:r>
            <w:r w:rsidRPr="00735D50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Významný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SO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SO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z malých stacionárních zdrojů (REZZO3) 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22,4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Velmi významný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NO</w:t>
            </w:r>
            <w:r>
              <w:rPr>
                <w:sz w:val="20"/>
                <w:szCs w:val="20"/>
                <w:vertAlign w:val="subscript"/>
              </w:rPr>
              <w:t>X</w:t>
            </w:r>
            <w:r>
              <w:rPr>
                <w:sz w:val="20"/>
                <w:szCs w:val="20"/>
              </w:rPr>
              <w:t xml:space="preserve">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NO</w:t>
            </w:r>
            <w:r>
              <w:rPr>
                <w:sz w:val="20"/>
                <w:szCs w:val="20"/>
                <w:vertAlign w:val="subscript"/>
              </w:rPr>
              <w:t>X</w:t>
            </w:r>
            <w:r>
              <w:rPr>
                <w:sz w:val="20"/>
                <w:szCs w:val="20"/>
              </w:rPr>
              <w:t xml:space="preserve"> z malých stacionárních zdrojů (REZZO3)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58,5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Rozhodující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VOC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1,5 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373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VOC z malých stacionárních zdrojů (REZZO 3)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emisí NH</w:t>
            </w:r>
            <w:r>
              <w:rPr>
                <w:sz w:val="20"/>
                <w:szCs w:val="20"/>
                <w:vertAlign w:val="subscript"/>
              </w:rPr>
              <w:t>3</w:t>
            </w:r>
            <w:r>
              <w:rPr>
                <w:sz w:val="20"/>
                <w:szCs w:val="20"/>
              </w:rPr>
              <w:t xml:space="preserve"> ze stac.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A61A59" w:rsidRDefault="007879D0" w:rsidP="007B3CD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61A59">
              <w:rPr>
                <w:b/>
                <w:color w:val="000000" w:themeColor="text1"/>
                <w:sz w:val="20"/>
                <w:szCs w:val="20"/>
              </w:rPr>
              <w:t>Nelze vyčíslit</w:t>
            </w:r>
            <w:r w:rsidRPr="00A61A5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Pr="00A61A59">
              <w:rPr>
                <w:color w:val="000000" w:themeColor="text1"/>
                <w:sz w:val="20"/>
                <w:szCs w:val="20"/>
              </w:rPr>
              <w:t>Rostoucí trend emisí na národní úrovni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A61A59" w:rsidRDefault="007879D0" w:rsidP="007B3CD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/>
          </w:tcPr>
          <w:p w:rsidR="007879D0" w:rsidRPr="00A61A59" w:rsidRDefault="007879D0" w:rsidP="007B3CDE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hodnoty indikátoru EPS u stacionárních zdrojů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Nezanedbatelný</w:t>
            </w: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3052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hodnoty indikátoru EPS u malých stac. Zdrojů (REZZO3)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Nelze vyčíslit (rostoucí trend národní hodnoty)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Default="007879D0" w:rsidP="007B3CDE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c>
          <w:tcPr>
            <w:tcW w:w="9128" w:type="dxa"/>
            <w:gridSpan w:val="5"/>
            <w:shd w:val="clear" w:color="auto" w:fill="76923C" w:themeFill="accent3" w:themeFillShade="BF"/>
          </w:tcPr>
          <w:p w:rsidR="007879D0" w:rsidRPr="00120DC0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 w:rsidRPr="00120DC0">
              <w:rPr>
                <w:b/>
                <w:sz w:val="20"/>
                <w:szCs w:val="20"/>
              </w:rPr>
              <w:t>Emise skleníkových plynů a energetika</w:t>
            </w:r>
          </w:p>
        </w:tc>
      </w:tr>
      <w:tr w:rsidR="007879D0" w:rsidRPr="002D5A40" w:rsidTr="003736AE">
        <w:trPr>
          <w:gridAfter w:val="1"/>
          <w:wAfter w:w="9" w:type="dxa"/>
        </w:trPr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Snížení spotřeby energie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0,13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  <w:tc>
          <w:tcPr>
            <w:tcW w:w="2268" w:type="dxa"/>
            <w:vMerge w:val="restart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Stupeň nejistoty dat je nezanedbatelný (vliv meteorologických </w:t>
            </w:r>
            <w:r>
              <w:rPr>
                <w:sz w:val="20"/>
                <w:szCs w:val="20"/>
              </w:rPr>
              <w:lastRenderedPageBreak/>
              <w:t>podmínek)</w:t>
            </w:r>
          </w:p>
        </w:tc>
      </w:tr>
      <w:tr w:rsidR="007879D0" w:rsidRPr="002D5A40" w:rsidTr="003736AE">
        <w:trPr>
          <w:gridAfter w:val="1"/>
          <w:wAfter w:w="9" w:type="dxa"/>
        </w:trPr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Výroba tepla z OZE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0,31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  <w:tc>
          <w:tcPr>
            <w:tcW w:w="2268" w:type="dxa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rPr>
          <w:gridAfter w:val="1"/>
          <w:wAfter w:w="9" w:type="dxa"/>
        </w:trPr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Výroba elektřiny z OZE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0,02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  <w:tc>
          <w:tcPr>
            <w:tcW w:w="2268" w:type="dxa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  <w:tr w:rsidR="007879D0" w:rsidRPr="002D5A40" w:rsidTr="003736AE">
        <w:trPr>
          <w:gridAfter w:val="1"/>
          <w:wAfter w:w="9" w:type="dxa"/>
        </w:trPr>
        <w:tc>
          <w:tcPr>
            <w:tcW w:w="3052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Snížení emisí oxidu uhličitého</w:t>
            </w:r>
          </w:p>
        </w:tc>
        <w:tc>
          <w:tcPr>
            <w:tcW w:w="2098" w:type="dxa"/>
            <w:shd w:val="clear" w:color="auto" w:fill="EAF1DD" w:themeFill="accent3" w:themeFillTint="33"/>
          </w:tcPr>
          <w:p w:rsidR="007879D0" w:rsidRPr="00916496" w:rsidRDefault="007879D0" w:rsidP="007B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0,44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Zanedbatelný</w:t>
            </w:r>
          </w:p>
        </w:tc>
        <w:tc>
          <w:tcPr>
            <w:tcW w:w="2268" w:type="dxa"/>
            <w:vMerge/>
          </w:tcPr>
          <w:p w:rsidR="007879D0" w:rsidRPr="002D5A40" w:rsidRDefault="007879D0" w:rsidP="007B3CDE">
            <w:pPr>
              <w:rPr>
                <w:sz w:val="20"/>
                <w:szCs w:val="20"/>
              </w:rPr>
            </w:pPr>
          </w:p>
        </w:tc>
      </w:tr>
    </w:tbl>
    <w:p w:rsidR="007879D0" w:rsidRDefault="007879D0" w:rsidP="007879D0">
      <w:pPr>
        <w:rPr>
          <w:b/>
        </w:rPr>
      </w:pPr>
    </w:p>
    <w:p w:rsidR="007879D0" w:rsidRPr="002D5A40" w:rsidRDefault="007879D0" w:rsidP="007879D0">
      <w:pPr>
        <w:rPr>
          <w:b/>
        </w:rPr>
      </w:pPr>
      <w:r w:rsidRPr="002D5A40">
        <w:rPr>
          <w:b/>
        </w:rPr>
        <w:t>Z tabulky vyplývají následující závěry:</w:t>
      </w:r>
    </w:p>
    <w:p w:rsidR="007879D0" w:rsidRPr="00D77C18" w:rsidRDefault="007879D0" w:rsidP="007879D0">
      <w:pPr>
        <w:pStyle w:val="Odstavecseseznamem"/>
        <w:numPr>
          <w:ilvl w:val="0"/>
          <w:numId w:val="22"/>
        </w:numPr>
        <w:spacing w:after="160" w:line="259" w:lineRule="auto"/>
      </w:pPr>
      <w:r w:rsidRPr="00D77C18">
        <w:t>Z </w:t>
      </w:r>
      <w:r>
        <w:t>24</w:t>
      </w:r>
      <w:r w:rsidRPr="00D77C18">
        <w:t xml:space="preserve"> sledovaných indikátorů lze </w:t>
      </w:r>
      <w:r>
        <w:t>21</w:t>
      </w:r>
      <w:r w:rsidRPr="00D77C18">
        <w:t xml:space="preserve"> využít k hodnocení přínosu OP</w:t>
      </w:r>
      <w:r w:rsidR="00817320">
        <w:t xml:space="preserve"> </w:t>
      </w:r>
      <w:r w:rsidRPr="00D77C18">
        <w:t>ŽP v národním kontextu,</w:t>
      </w:r>
    </w:p>
    <w:p w:rsidR="007879D0" w:rsidRPr="00D77C18" w:rsidRDefault="007879D0" w:rsidP="007879D0">
      <w:pPr>
        <w:pStyle w:val="Odstavecseseznamem"/>
        <w:numPr>
          <w:ilvl w:val="0"/>
          <w:numId w:val="22"/>
        </w:numPr>
        <w:spacing w:after="160" w:line="259" w:lineRule="auto"/>
      </w:pPr>
      <w:r w:rsidRPr="00D77C18">
        <w:t xml:space="preserve">Ve </w:t>
      </w:r>
      <w:r>
        <w:t>dvou</w:t>
      </w:r>
      <w:r w:rsidRPr="00D77C18">
        <w:t xml:space="preserve"> případech (Snížení emisí </w:t>
      </w:r>
      <w:r w:rsidRPr="000A6F71">
        <w:t>NH</w:t>
      </w:r>
      <w:r w:rsidRPr="000A6F71">
        <w:rPr>
          <w:vertAlign w:val="subscript"/>
        </w:rPr>
        <w:t>3</w:t>
      </w:r>
      <w:r w:rsidRPr="000A6F71">
        <w:t xml:space="preserve"> ze stacionárních zdrojů</w:t>
      </w:r>
      <w:r>
        <w:t>,</w:t>
      </w:r>
      <w:r w:rsidRPr="00EC4CDE">
        <w:t xml:space="preserve"> Snížení hodno</w:t>
      </w:r>
      <w:r>
        <w:t>ty indikátoru EPS u malých stacionárních z</w:t>
      </w:r>
      <w:r w:rsidRPr="00EC4CDE">
        <w:t>drojů</w:t>
      </w:r>
      <w:r w:rsidRPr="000A6F71">
        <w:t>) nelze přínos OP</w:t>
      </w:r>
      <w:r w:rsidR="00817320">
        <w:t xml:space="preserve"> </w:t>
      </w:r>
      <w:r w:rsidRPr="000A6F71">
        <w:t>ŽP vyhodnotit vzhledem k negativnímu vývoji</w:t>
      </w:r>
      <w:r w:rsidRPr="00D77C18">
        <w:t xml:space="preserve"> sledované veličiny na národní úrovni,</w:t>
      </w:r>
    </w:p>
    <w:p w:rsidR="007879D0" w:rsidRPr="00D77C18" w:rsidRDefault="007879D0" w:rsidP="007879D0">
      <w:pPr>
        <w:pStyle w:val="Odstavecseseznamem"/>
        <w:numPr>
          <w:ilvl w:val="0"/>
          <w:numId w:val="22"/>
        </w:numPr>
        <w:spacing w:after="160" w:line="259" w:lineRule="auto"/>
      </w:pPr>
      <w:r w:rsidRPr="00D77C18">
        <w:t>V jednom případě (</w:t>
      </w:r>
      <w:r>
        <w:t>O</w:t>
      </w:r>
      <w:r w:rsidRPr="00D77C18">
        <w:t>dstranění sl</w:t>
      </w:r>
      <w:r w:rsidR="00222B2F">
        <w:t>oučenin dusíku z odpadních vod)</w:t>
      </w:r>
      <w:r w:rsidRPr="00D77C18">
        <w:t xml:space="preserve"> nelze přínos OP</w:t>
      </w:r>
      <w:r w:rsidR="003736AE">
        <w:t xml:space="preserve"> </w:t>
      </w:r>
      <w:r w:rsidRPr="00D77C18">
        <w:t>ŽP vyhodnotit vzhledem k nekompatibilitě dat</w:t>
      </w:r>
      <w:r>
        <w:t xml:space="preserve"> sledovaných v rámci OP</w:t>
      </w:r>
      <w:r w:rsidR="003736AE">
        <w:t xml:space="preserve"> </w:t>
      </w:r>
      <w:r>
        <w:t>ŽP</w:t>
      </w:r>
      <w:r w:rsidRPr="00D77C18">
        <w:t xml:space="preserve"> s daty </w:t>
      </w:r>
      <w:r>
        <w:t xml:space="preserve">sledovanými </w:t>
      </w:r>
      <w:r w:rsidRPr="00D77C18">
        <w:t>na národní úrovni</w:t>
      </w:r>
      <w:r>
        <w:t>.</w:t>
      </w:r>
    </w:p>
    <w:p w:rsidR="007879D0" w:rsidRDefault="007879D0" w:rsidP="007879D0">
      <w:r w:rsidRPr="00EC4CDE">
        <w:rPr>
          <w:b/>
        </w:rPr>
        <w:t>Rozhodující přínos OP</w:t>
      </w:r>
      <w:r w:rsidR="00817320">
        <w:rPr>
          <w:b/>
        </w:rPr>
        <w:t xml:space="preserve"> </w:t>
      </w:r>
      <w:r w:rsidRPr="00EC4CDE">
        <w:rPr>
          <w:b/>
        </w:rPr>
        <w:t xml:space="preserve">ŽP </w:t>
      </w:r>
      <w:r w:rsidRPr="00EC4CDE">
        <w:t>k pozitivní změně na</w:t>
      </w:r>
      <w:r w:rsidR="003736AE">
        <w:t xml:space="preserve"> národní úrovni v období 2007-</w:t>
      </w:r>
      <w:r w:rsidRPr="00EC4CDE">
        <w:t>2013 (</w:t>
      </w:r>
      <w:r w:rsidRPr="00EC4CDE">
        <w:rPr>
          <w:b/>
        </w:rPr>
        <w:t>více než 50 %</w:t>
      </w:r>
      <w:r w:rsidRPr="00EC4CDE">
        <w:t xml:space="preserve">) </w:t>
      </w:r>
      <w:r w:rsidRPr="00EC4CDE">
        <w:rPr>
          <w:b/>
        </w:rPr>
        <w:t>lze s vysokou mírou jistoty konstatovat</w:t>
      </w:r>
      <w:r w:rsidRPr="00EC4CDE">
        <w:t xml:space="preserve"> v případě indikátoru</w:t>
      </w:r>
      <w:r>
        <w:t>:</w:t>
      </w:r>
    </w:p>
    <w:p w:rsidR="007879D0" w:rsidRPr="00AB037B" w:rsidRDefault="007879D0" w:rsidP="007879D0">
      <w:pPr>
        <w:pStyle w:val="Odstavecseseznamem"/>
        <w:numPr>
          <w:ilvl w:val="0"/>
          <w:numId w:val="38"/>
        </w:numPr>
        <w:spacing w:after="160" w:line="259" w:lineRule="auto"/>
        <w:rPr>
          <w:b/>
        </w:rPr>
      </w:pPr>
      <w:r w:rsidRPr="00AB037B">
        <w:t xml:space="preserve"> </w:t>
      </w:r>
      <w:r w:rsidRPr="00AB037B">
        <w:rPr>
          <w:b/>
        </w:rPr>
        <w:t>Délka nových kanalizačních sítí</w:t>
      </w:r>
    </w:p>
    <w:p w:rsidR="007879D0" w:rsidRPr="00EC4CDE" w:rsidRDefault="007879D0" w:rsidP="007879D0">
      <w:pPr>
        <w:rPr>
          <w:b/>
        </w:rPr>
      </w:pPr>
      <w:r>
        <w:rPr>
          <w:b/>
        </w:rPr>
        <w:t>Rozhodující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EC4CDE">
        <w:t>k pozitivní změně na národní úrovni</w:t>
      </w:r>
      <w:r>
        <w:rPr>
          <w:b/>
        </w:rPr>
        <w:t xml:space="preserve"> </w:t>
      </w:r>
      <w:r w:rsidR="003736AE">
        <w:t>v období 2007-</w:t>
      </w:r>
      <w:r w:rsidRPr="00EC4CDE">
        <w:t>2013</w:t>
      </w:r>
      <w:r>
        <w:rPr>
          <w:b/>
        </w:rPr>
        <w:t xml:space="preserve"> (více než 50 %) je s vědomím nejistoty národních dat pravděpodobný </w:t>
      </w:r>
      <w:r w:rsidRPr="00EC4CDE">
        <w:t>v případě indikátorů</w:t>
      </w:r>
      <w:r>
        <w:rPr>
          <w:b/>
        </w:rPr>
        <w:t>:</w:t>
      </w:r>
    </w:p>
    <w:p w:rsidR="007879D0" w:rsidRPr="00EC4CDE" w:rsidRDefault="007879D0" w:rsidP="007879D0">
      <w:pPr>
        <w:pStyle w:val="Odstavecseseznamem"/>
        <w:numPr>
          <w:ilvl w:val="0"/>
          <w:numId w:val="36"/>
        </w:numPr>
        <w:spacing w:after="160" w:line="259" w:lineRule="auto"/>
        <w:rPr>
          <w:b/>
        </w:rPr>
      </w:pPr>
      <w:r w:rsidRPr="00EC4CDE">
        <w:rPr>
          <w:b/>
        </w:rPr>
        <w:t>Odstraněné znečištění z odpadních vod v parametru BSK</w:t>
      </w:r>
      <w:r w:rsidRPr="00EC4CDE">
        <w:rPr>
          <w:b/>
          <w:vertAlign w:val="subscript"/>
        </w:rPr>
        <w:t>5.</w:t>
      </w:r>
    </w:p>
    <w:p w:rsidR="007879D0" w:rsidRPr="00D77C18" w:rsidRDefault="007879D0" w:rsidP="007879D0">
      <w:pPr>
        <w:pStyle w:val="Odstavecseseznamem"/>
        <w:numPr>
          <w:ilvl w:val="0"/>
          <w:numId w:val="36"/>
        </w:numPr>
        <w:spacing w:after="160" w:line="259" w:lineRule="auto"/>
        <w:rPr>
          <w:b/>
        </w:rPr>
      </w:pPr>
      <w:r w:rsidRPr="00D77C18">
        <w:rPr>
          <w:b/>
        </w:rPr>
        <w:t>Odstraněné znečištění z odpadních vod v parametru CHSK</w:t>
      </w:r>
      <w:r w:rsidRPr="00D77C18">
        <w:rPr>
          <w:b/>
          <w:vertAlign w:val="subscript"/>
        </w:rPr>
        <w:t>5Cr</w:t>
      </w:r>
    </w:p>
    <w:p w:rsidR="007879D0" w:rsidRDefault="007879D0" w:rsidP="007879D0">
      <w:pPr>
        <w:pStyle w:val="Odstavecseseznamem"/>
        <w:numPr>
          <w:ilvl w:val="0"/>
          <w:numId w:val="36"/>
        </w:numPr>
        <w:spacing w:after="160" w:line="259" w:lineRule="auto"/>
        <w:rPr>
          <w:b/>
        </w:rPr>
      </w:pPr>
      <w:r w:rsidRPr="007B699C">
        <w:rPr>
          <w:b/>
        </w:rPr>
        <w:t>Snížení emisí TZL ze stacionárních zdrojů</w:t>
      </w:r>
      <w:r>
        <w:rPr>
          <w:b/>
        </w:rPr>
        <w:t xml:space="preserve"> </w:t>
      </w:r>
    </w:p>
    <w:p w:rsidR="007879D0" w:rsidRDefault="007879D0" w:rsidP="007879D0">
      <w:pPr>
        <w:pStyle w:val="Odstavecseseznamem"/>
        <w:numPr>
          <w:ilvl w:val="0"/>
          <w:numId w:val="36"/>
        </w:numPr>
        <w:spacing w:after="160" w:line="259" w:lineRule="auto"/>
        <w:rPr>
          <w:b/>
        </w:rPr>
      </w:pPr>
      <w:r>
        <w:rPr>
          <w:b/>
        </w:rPr>
        <w:t>Snížení emisí NO</w:t>
      </w:r>
      <w:r>
        <w:rPr>
          <w:b/>
          <w:vertAlign w:val="subscript"/>
        </w:rPr>
        <w:t>X</w:t>
      </w:r>
      <w:r>
        <w:rPr>
          <w:b/>
        </w:rPr>
        <w:t xml:space="preserve"> z malých stacionárních zdrojů</w:t>
      </w:r>
    </w:p>
    <w:p w:rsidR="007879D0" w:rsidRPr="00D77C18" w:rsidRDefault="007879D0" w:rsidP="007879D0">
      <w:r>
        <w:rPr>
          <w:b/>
        </w:rPr>
        <w:t>Velmi významný přínos OP</w:t>
      </w:r>
      <w:r w:rsidR="003736AE">
        <w:rPr>
          <w:b/>
        </w:rPr>
        <w:t xml:space="preserve"> </w:t>
      </w:r>
      <w:r>
        <w:rPr>
          <w:b/>
        </w:rPr>
        <w:t xml:space="preserve">ŽP </w:t>
      </w:r>
      <w:r w:rsidRPr="00D77C18">
        <w:t>k pozitivní změně n</w:t>
      </w:r>
      <w:r w:rsidR="003736AE">
        <w:t>a národní úrovni v období 2007-</w:t>
      </w:r>
      <w:r w:rsidRPr="00D77C18">
        <w:t>2012</w:t>
      </w:r>
      <w:r>
        <w:rPr>
          <w:b/>
        </w:rPr>
        <w:t xml:space="preserve">  (20 až 50 %) </w:t>
      </w:r>
      <w:r w:rsidRPr="00D77C18">
        <w:t>lze konstatovat v případě indikátorů:</w:t>
      </w:r>
    </w:p>
    <w:p w:rsidR="007879D0" w:rsidRDefault="007879D0" w:rsidP="007879D0">
      <w:pPr>
        <w:pStyle w:val="Odstavecseseznamem"/>
        <w:numPr>
          <w:ilvl w:val="0"/>
          <w:numId w:val="24"/>
        </w:numPr>
        <w:spacing w:after="160" w:line="259" w:lineRule="auto"/>
        <w:rPr>
          <w:b/>
        </w:rPr>
      </w:pPr>
      <w:r w:rsidRPr="00D77C18">
        <w:rPr>
          <w:b/>
        </w:rPr>
        <w:t>Počet nových ČOV</w:t>
      </w:r>
    </w:p>
    <w:p w:rsidR="007879D0" w:rsidRPr="00EC4CDE" w:rsidRDefault="007879D0" w:rsidP="007879D0">
      <w:pPr>
        <w:pStyle w:val="Odstavecseseznamem"/>
        <w:numPr>
          <w:ilvl w:val="0"/>
          <w:numId w:val="24"/>
        </w:numPr>
        <w:spacing w:after="160" w:line="259" w:lineRule="auto"/>
        <w:rPr>
          <w:b/>
        </w:rPr>
      </w:pPr>
      <w:r w:rsidRPr="00EC4CDE">
        <w:rPr>
          <w:b/>
        </w:rPr>
        <w:t>Počet obyvatel nově připojených k vyhovující ČOV</w:t>
      </w:r>
    </w:p>
    <w:p w:rsidR="007879D0" w:rsidRPr="00D77C18" w:rsidRDefault="007879D0" w:rsidP="007879D0">
      <w:r>
        <w:rPr>
          <w:b/>
        </w:rPr>
        <w:t>Velmi významný přínos OP</w:t>
      </w:r>
      <w:r w:rsidR="003736AE">
        <w:rPr>
          <w:b/>
        </w:rPr>
        <w:t xml:space="preserve"> </w:t>
      </w:r>
      <w:r>
        <w:rPr>
          <w:b/>
        </w:rPr>
        <w:t xml:space="preserve">ŽP </w:t>
      </w:r>
      <w:r w:rsidRPr="00D77C18">
        <w:t>k pozitivní změně na</w:t>
      </w:r>
      <w:r w:rsidR="003736AE">
        <w:t xml:space="preserve"> národní úrovni v období 2007-</w:t>
      </w:r>
      <w:r w:rsidRPr="00D77C18">
        <w:t>2012</w:t>
      </w:r>
      <w:r>
        <w:rPr>
          <w:b/>
        </w:rPr>
        <w:t xml:space="preserve">  (20 až 50 %) je s vědomím nejistoty národních dat pravděpodobný </w:t>
      </w:r>
      <w:r w:rsidRPr="00D77C18">
        <w:t>v případě indikátor</w:t>
      </w:r>
      <w:r>
        <w:t>u</w:t>
      </w:r>
      <w:r w:rsidRPr="00D77C18">
        <w:t>:</w:t>
      </w:r>
    </w:p>
    <w:p w:rsidR="007879D0" w:rsidRPr="00AB037B" w:rsidRDefault="007879D0" w:rsidP="007879D0">
      <w:pPr>
        <w:pStyle w:val="Odstavecseseznamem"/>
        <w:numPr>
          <w:ilvl w:val="0"/>
          <w:numId w:val="24"/>
        </w:numPr>
        <w:spacing w:after="160" w:line="259" w:lineRule="auto"/>
        <w:rPr>
          <w:b/>
        </w:rPr>
      </w:pPr>
      <w:r w:rsidRPr="00AB037B">
        <w:rPr>
          <w:b/>
        </w:rPr>
        <w:t>Snížení emisí SO</w:t>
      </w:r>
      <w:r w:rsidRPr="00AB037B">
        <w:rPr>
          <w:b/>
          <w:vertAlign w:val="subscript"/>
        </w:rPr>
        <w:t>2</w:t>
      </w:r>
      <w:r w:rsidRPr="00AB037B">
        <w:rPr>
          <w:b/>
        </w:rPr>
        <w:t xml:space="preserve"> z malých stacionárních zdrojů (REZZO3) </w:t>
      </w:r>
    </w:p>
    <w:p w:rsidR="007879D0" w:rsidRDefault="007879D0" w:rsidP="007879D0">
      <w:r>
        <w:rPr>
          <w:b/>
        </w:rPr>
        <w:t>Významný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D77C18">
        <w:t>k pozitivní změně na</w:t>
      </w:r>
      <w:r w:rsidR="003736AE">
        <w:t xml:space="preserve"> národní úrovni v období 2007-</w:t>
      </w:r>
      <w:r w:rsidRPr="00D77C18">
        <w:t>2012</w:t>
      </w:r>
      <w:r>
        <w:rPr>
          <w:b/>
        </w:rPr>
        <w:t xml:space="preserve">  (5 až 20 %) </w:t>
      </w:r>
      <w:r w:rsidRPr="00D77C18">
        <w:t xml:space="preserve">lze </w:t>
      </w:r>
      <w:r>
        <w:t>konstatovat v případě indikátoru:</w:t>
      </w:r>
    </w:p>
    <w:p w:rsidR="007879D0" w:rsidRPr="00D77C18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D77C18">
        <w:rPr>
          <w:b/>
        </w:rPr>
        <w:t>Délka nových vodovodních sítí</w:t>
      </w:r>
    </w:p>
    <w:p w:rsidR="007879D0" w:rsidRPr="008A61B7" w:rsidRDefault="007879D0" w:rsidP="007879D0">
      <w:r w:rsidRPr="008A61B7">
        <w:rPr>
          <w:b/>
        </w:rPr>
        <w:t>Významný přínos OP</w:t>
      </w:r>
      <w:r w:rsidR="003736AE">
        <w:rPr>
          <w:b/>
        </w:rPr>
        <w:t xml:space="preserve"> </w:t>
      </w:r>
      <w:r w:rsidRPr="008A61B7">
        <w:rPr>
          <w:b/>
        </w:rPr>
        <w:t xml:space="preserve">ŽP </w:t>
      </w:r>
      <w:r w:rsidRPr="008A61B7">
        <w:t xml:space="preserve">k pozitivní změně na </w:t>
      </w:r>
      <w:r w:rsidR="003736AE">
        <w:t>národní úrovni v období 2007-2</w:t>
      </w:r>
      <w:r w:rsidRPr="008A61B7">
        <w:t>012</w:t>
      </w:r>
      <w:r w:rsidRPr="008A61B7">
        <w:rPr>
          <w:b/>
        </w:rPr>
        <w:t xml:space="preserve">  (5 až 20 %) </w:t>
      </w:r>
      <w:r>
        <w:rPr>
          <w:b/>
        </w:rPr>
        <w:t xml:space="preserve">je s vědomím nejistoty národních dat pravděpodobný </w:t>
      </w:r>
      <w:r w:rsidRPr="008A61B7">
        <w:t>v případě indikátor</w:t>
      </w:r>
      <w:r>
        <w:t>ů</w:t>
      </w:r>
      <w:r w:rsidRPr="008A61B7">
        <w:t>:</w:t>
      </w:r>
    </w:p>
    <w:p w:rsidR="007879D0" w:rsidRPr="008A61B7" w:rsidRDefault="007879D0" w:rsidP="007879D0">
      <w:pPr>
        <w:pStyle w:val="Odstavecseseznamem"/>
        <w:numPr>
          <w:ilvl w:val="0"/>
          <w:numId w:val="39"/>
        </w:numPr>
        <w:spacing w:after="160" w:line="259" w:lineRule="auto"/>
        <w:rPr>
          <w:b/>
        </w:rPr>
      </w:pPr>
      <w:r w:rsidRPr="008A61B7">
        <w:rPr>
          <w:b/>
        </w:rPr>
        <w:t>Odstraněné znečištění z odpadních vod v P</w:t>
      </w:r>
      <w:r w:rsidRPr="008A61B7">
        <w:rPr>
          <w:b/>
          <w:vertAlign w:val="subscript"/>
        </w:rPr>
        <w:t>celk.</w:t>
      </w:r>
    </w:p>
    <w:p w:rsidR="007879D0" w:rsidRPr="008A61B7" w:rsidRDefault="007879D0" w:rsidP="007879D0">
      <w:pPr>
        <w:pStyle w:val="Odstavecseseznamem"/>
        <w:numPr>
          <w:ilvl w:val="0"/>
          <w:numId w:val="39"/>
        </w:numPr>
        <w:spacing w:after="160" w:line="259" w:lineRule="auto"/>
        <w:rPr>
          <w:b/>
        </w:rPr>
      </w:pPr>
      <w:r w:rsidRPr="008A61B7">
        <w:rPr>
          <w:b/>
        </w:rPr>
        <w:t>Snížení emisí TZL z malých stacionárních zdrojů (REZZO3)</w:t>
      </w:r>
    </w:p>
    <w:p w:rsidR="007879D0" w:rsidRDefault="007879D0" w:rsidP="007879D0">
      <w:pPr>
        <w:rPr>
          <w:b/>
        </w:rPr>
      </w:pPr>
      <w:r>
        <w:rPr>
          <w:b/>
        </w:rPr>
        <w:t>Nezanedbatelný přínos OP</w:t>
      </w:r>
      <w:r w:rsidR="00817320">
        <w:rPr>
          <w:b/>
        </w:rPr>
        <w:t xml:space="preserve"> </w:t>
      </w:r>
      <w:r>
        <w:rPr>
          <w:b/>
        </w:rPr>
        <w:t xml:space="preserve">ŽP </w:t>
      </w:r>
      <w:r w:rsidRPr="007B699C">
        <w:t>k pozitivní změně na národní úrovni v období 2007 - 2012</w:t>
      </w:r>
      <w:r>
        <w:rPr>
          <w:b/>
        </w:rPr>
        <w:t xml:space="preserve">  (1 až 5 %) </w:t>
      </w:r>
      <w:r w:rsidRPr="007B699C">
        <w:t>lze konstatovat v případě indikátor</w:t>
      </w:r>
      <w:r>
        <w:t>u</w:t>
      </w:r>
      <w:r>
        <w:rPr>
          <w:b/>
        </w:rPr>
        <w:t>:</w:t>
      </w:r>
    </w:p>
    <w:p w:rsidR="007879D0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D77C18">
        <w:rPr>
          <w:b/>
        </w:rPr>
        <w:lastRenderedPageBreak/>
        <w:t>Počet obyvatel nově připojených na vodovod</w:t>
      </w:r>
    </w:p>
    <w:p w:rsidR="007879D0" w:rsidRPr="00AB037B" w:rsidRDefault="007879D0" w:rsidP="007879D0">
      <w:pPr>
        <w:rPr>
          <w:b/>
        </w:rPr>
      </w:pPr>
      <w:r w:rsidRPr="00AB037B">
        <w:rPr>
          <w:b/>
        </w:rPr>
        <w:t>Nezanedbatelný přínos OP</w:t>
      </w:r>
      <w:r w:rsidR="003736AE">
        <w:rPr>
          <w:b/>
        </w:rPr>
        <w:t xml:space="preserve"> </w:t>
      </w:r>
      <w:r w:rsidRPr="00AB037B">
        <w:rPr>
          <w:b/>
        </w:rPr>
        <w:t xml:space="preserve">ŽP </w:t>
      </w:r>
      <w:r w:rsidRPr="00AB037B">
        <w:t>k pozitivní změně na</w:t>
      </w:r>
      <w:r w:rsidR="003736AE">
        <w:t xml:space="preserve"> národní úrovni v období 2007-</w:t>
      </w:r>
      <w:r w:rsidRPr="00AB037B">
        <w:t>2012</w:t>
      </w:r>
      <w:r w:rsidRPr="00AB037B">
        <w:rPr>
          <w:b/>
        </w:rPr>
        <w:t xml:space="preserve">  (1 až 5 %) </w:t>
      </w:r>
      <w:r>
        <w:rPr>
          <w:b/>
        </w:rPr>
        <w:t>je s vědomím nejistoty národních dat pravděpodobný</w:t>
      </w:r>
      <w:r w:rsidRPr="00AB037B">
        <w:t xml:space="preserve"> v případě indikátor</w:t>
      </w:r>
      <w:r>
        <w:t>ů</w:t>
      </w:r>
      <w:r w:rsidRPr="00AB037B">
        <w:rPr>
          <w:b/>
        </w:rPr>
        <w:t>:</w:t>
      </w:r>
    </w:p>
    <w:p w:rsidR="007879D0" w:rsidRPr="007B699C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7B699C">
        <w:rPr>
          <w:b/>
        </w:rPr>
        <w:t>Snížení emisí SO</w:t>
      </w:r>
      <w:r>
        <w:rPr>
          <w:b/>
          <w:vertAlign w:val="subscript"/>
        </w:rPr>
        <w:t>2</w:t>
      </w:r>
      <w:r w:rsidRPr="007B699C">
        <w:rPr>
          <w:b/>
        </w:rPr>
        <w:t xml:space="preserve"> ze stacionárních zdrojů</w:t>
      </w:r>
    </w:p>
    <w:p w:rsidR="007879D0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7B699C">
        <w:rPr>
          <w:b/>
        </w:rPr>
        <w:t>Snížení emisí NO</w:t>
      </w:r>
      <w:r>
        <w:rPr>
          <w:b/>
          <w:vertAlign w:val="subscript"/>
        </w:rPr>
        <w:t>X</w:t>
      </w:r>
      <w:r w:rsidRPr="007B699C">
        <w:rPr>
          <w:b/>
        </w:rPr>
        <w:t xml:space="preserve"> ze stacionárních zdrojů</w:t>
      </w:r>
    </w:p>
    <w:p w:rsidR="007879D0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7B699C">
        <w:rPr>
          <w:b/>
        </w:rPr>
        <w:t xml:space="preserve">Snížení emisí </w:t>
      </w:r>
      <w:r>
        <w:rPr>
          <w:b/>
        </w:rPr>
        <w:t>VOC</w:t>
      </w:r>
      <w:r w:rsidRPr="007B699C">
        <w:rPr>
          <w:b/>
        </w:rPr>
        <w:t xml:space="preserve"> ze stacionárních zdrojů</w:t>
      </w:r>
    </w:p>
    <w:p w:rsidR="007879D0" w:rsidRPr="008A61B7" w:rsidRDefault="00222B2F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>
        <w:rPr>
          <w:b/>
        </w:rPr>
        <w:t xml:space="preserve">Snížení emisí VOC z malých </w:t>
      </w:r>
      <w:r w:rsidR="007879D0" w:rsidRPr="008A61B7">
        <w:rPr>
          <w:b/>
        </w:rPr>
        <w:t>stacionárních zdrojů (REZZO 3)</w:t>
      </w:r>
    </w:p>
    <w:p w:rsidR="007879D0" w:rsidRPr="007B699C" w:rsidRDefault="007879D0" w:rsidP="007879D0">
      <w:pPr>
        <w:pStyle w:val="Odstavecseseznamem"/>
        <w:numPr>
          <w:ilvl w:val="0"/>
          <w:numId w:val="26"/>
        </w:numPr>
        <w:spacing w:after="160" w:line="259" w:lineRule="auto"/>
        <w:rPr>
          <w:b/>
        </w:rPr>
      </w:pPr>
      <w:r w:rsidRPr="007B699C">
        <w:rPr>
          <w:b/>
        </w:rPr>
        <w:t>Snížení hodnoty indikátoru EPS u stacionárních zdrojů</w:t>
      </w:r>
    </w:p>
    <w:p w:rsidR="007879D0" w:rsidRDefault="007879D0" w:rsidP="007879D0">
      <w:pPr>
        <w:rPr>
          <w:b/>
        </w:rPr>
      </w:pPr>
      <w:r>
        <w:rPr>
          <w:b/>
        </w:rPr>
        <w:t>Zanedbatelný přínos OP</w:t>
      </w:r>
      <w:r w:rsidR="003736AE">
        <w:rPr>
          <w:b/>
        </w:rPr>
        <w:t xml:space="preserve"> </w:t>
      </w:r>
      <w:r>
        <w:rPr>
          <w:b/>
        </w:rPr>
        <w:t xml:space="preserve">ŽP </w:t>
      </w:r>
      <w:r w:rsidRPr="007B699C">
        <w:t>k pozitivní změně na národn</w:t>
      </w:r>
      <w:r w:rsidR="003736AE">
        <w:t>í úrovni v období 2007-</w:t>
      </w:r>
      <w:r w:rsidRPr="007B699C">
        <w:t>2012</w:t>
      </w:r>
      <w:r>
        <w:rPr>
          <w:b/>
        </w:rPr>
        <w:t xml:space="preserve">  (méně než 1 %) </w:t>
      </w:r>
      <w:r w:rsidRPr="007B699C">
        <w:t>lze konstatovat v případě indikátorů</w:t>
      </w:r>
      <w:r>
        <w:rPr>
          <w:b/>
        </w:rPr>
        <w:t>:</w:t>
      </w:r>
    </w:p>
    <w:p w:rsidR="007879D0" w:rsidRPr="007B699C" w:rsidRDefault="007879D0" w:rsidP="007879D0">
      <w:pPr>
        <w:pStyle w:val="Odstavecseseznamem"/>
        <w:numPr>
          <w:ilvl w:val="0"/>
          <w:numId w:val="30"/>
        </w:numPr>
        <w:spacing w:after="160" w:line="259" w:lineRule="auto"/>
        <w:rPr>
          <w:b/>
        </w:rPr>
      </w:pPr>
      <w:r w:rsidRPr="007B699C">
        <w:rPr>
          <w:b/>
        </w:rPr>
        <w:t>Snížení spotřeby energie</w:t>
      </w:r>
    </w:p>
    <w:p w:rsidR="007879D0" w:rsidRPr="007B699C" w:rsidRDefault="007879D0" w:rsidP="007879D0">
      <w:pPr>
        <w:pStyle w:val="Odstavecseseznamem"/>
        <w:numPr>
          <w:ilvl w:val="0"/>
          <w:numId w:val="30"/>
        </w:numPr>
        <w:spacing w:after="160" w:line="259" w:lineRule="auto"/>
        <w:rPr>
          <w:b/>
        </w:rPr>
      </w:pPr>
      <w:r w:rsidRPr="007B699C">
        <w:rPr>
          <w:b/>
        </w:rPr>
        <w:t>Výroba tepla z OZE</w:t>
      </w:r>
    </w:p>
    <w:p w:rsidR="007879D0" w:rsidRPr="007B699C" w:rsidRDefault="007879D0" w:rsidP="007879D0">
      <w:pPr>
        <w:pStyle w:val="Odstavecseseznamem"/>
        <w:numPr>
          <w:ilvl w:val="0"/>
          <w:numId w:val="30"/>
        </w:numPr>
        <w:spacing w:after="160" w:line="259" w:lineRule="auto"/>
        <w:rPr>
          <w:b/>
        </w:rPr>
      </w:pPr>
      <w:r w:rsidRPr="007B699C">
        <w:rPr>
          <w:b/>
        </w:rPr>
        <w:t>Výroba elektřiny z OZE</w:t>
      </w:r>
    </w:p>
    <w:p w:rsidR="007879D0" w:rsidRPr="007B699C" w:rsidRDefault="007879D0" w:rsidP="007879D0">
      <w:pPr>
        <w:pStyle w:val="Odstavecseseznamem"/>
        <w:numPr>
          <w:ilvl w:val="0"/>
          <w:numId w:val="30"/>
        </w:numPr>
        <w:spacing w:after="160" w:line="259" w:lineRule="auto"/>
        <w:rPr>
          <w:b/>
        </w:rPr>
      </w:pPr>
      <w:r w:rsidRPr="007B699C">
        <w:rPr>
          <w:b/>
        </w:rPr>
        <w:t>Snížení emisí oxidu uhličitého</w:t>
      </w:r>
      <w:r>
        <w:rPr>
          <w:b/>
        </w:rPr>
        <w:t>.</w:t>
      </w:r>
    </w:p>
    <w:p w:rsidR="007879D0" w:rsidRDefault="007879D0" w:rsidP="007879D0">
      <w:pPr>
        <w:rPr>
          <w:b/>
        </w:rPr>
      </w:pPr>
      <w:r>
        <w:rPr>
          <w:b/>
        </w:rPr>
        <w:t>Vzhledem k tomu, že indikátory jsou hodnoceny pouze pro časové období 200</w:t>
      </w:r>
      <w:r w:rsidR="003736AE">
        <w:rPr>
          <w:b/>
        </w:rPr>
        <w:t>7-</w:t>
      </w:r>
      <w:r>
        <w:rPr>
          <w:b/>
        </w:rPr>
        <w:t>2013 (data na národní úrovni k roku 2014 nejsou dosud k dispozici), je význam hodnocení v této fázi spíše metodický. Řada významných projektů v rámci OP</w:t>
      </w:r>
      <w:r w:rsidR="00817320">
        <w:rPr>
          <w:b/>
        </w:rPr>
        <w:t xml:space="preserve"> </w:t>
      </w:r>
      <w:r>
        <w:rPr>
          <w:b/>
        </w:rPr>
        <w:t>ŽP bude navíc dokončena až v roce 2014 a letech následujících a hodnoty většiny indikátorů dopadu se výrazně zvýší.</w:t>
      </w:r>
    </w:p>
    <w:p w:rsidR="007879D0" w:rsidRPr="00983178" w:rsidRDefault="007879D0" w:rsidP="007879D0">
      <w:r w:rsidRPr="00983178">
        <w:br w:type="page"/>
      </w:r>
    </w:p>
    <w:p w:rsidR="007879D0" w:rsidRDefault="007879D0" w:rsidP="007879D0"/>
    <w:p w:rsidR="00E11CE0" w:rsidRPr="00E11CE0" w:rsidRDefault="007879D0" w:rsidP="00E11CE0">
      <w:pPr>
        <w:pStyle w:val="Nadpis1"/>
        <w:rPr>
          <w:b w:val="0"/>
        </w:rPr>
      </w:pPr>
      <w:bookmarkStart w:id="46" w:name="_Toc404179364"/>
      <w:bookmarkStart w:id="47" w:name="_Toc404179447"/>
      <w:r w:rsidRPr="002D5A40">
        <w:t xml:space="preserve">Seznam </w:t>
      </w:r>
      <w:r w:rsidRPr="00E11CE0">
        <w:t>zkratek</w:t>
      </w:r>
      <w:r w:rsidRPr="002D5A40">
        <w:t xml:space="preserve"> a symbolů</w:t>
      </w:r>
      <w:bookmarkEnd w:id="46"/>
      <w:bookmarkEnd w:id="4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89"/>
        <w:gridCol w:w="7479"/>
      </w:tblGrid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BSK</w:t>
            </w:r>
            <w:r w:rsidRPr="00955205">
              <w:rPr>
                <w:vertAlign w:val="subscript"/>
              </w:rPr>
              <w:t>5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Biochemická spotřeba kyslíku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CHSK</w:t>
            </w:r>
            <w:r w:rsidRPr="00955205">
              <w:rPr>
                <w:vertAlign w:val="subscript"/>
              </w:rPr>
              <w:t>Cr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Chemické spotřeba kyslíku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ČHMÚ: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Český hydrometeorologický ústav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ČOV: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Čistírna odpadních vod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ČR: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Česká republika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ČSÚ: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Český statistický úřad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EO: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Ekvivalentní obyvatel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EPS: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Indikátor popisující součet emisí primárních tuhých částic a přepočítaných emisí prekurzorů tvorby sekundárních částic.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EU: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Evropská unie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IND: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Vypočítaná hodnota indikátoru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ISSaR: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Informační systém statistiky a reportingu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N</w:t>
            </w:r>
            <w:r w:rsidRPr="00955205">
              <w:rPr>
                <w:vertAlign w:val="subscript"/>
              </w:rPr>
              <w:t>anorg.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Dusík anorganický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N</w:t>
            </w:r>
            <w:r w:rsidRPr="00955205">
              <w:rPr>
                <w:vertAlign w:val="subscript"/>
              </w:rPr>
              <w:t>celk.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Default="000C0E19" w:rsidP="000C0E19">
            <w:pPr>
              <w:spacing w:after="160" w:line="259" w:lineRule="auto"/>
            </w:pPr>
            <w:r w:rsidRPr="00955205">
              <w:t>Dusík celkový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N</w:t>
            </w:r>
            <w:r w:rsidRPr="00955205">
              <w:rPr>
                <w:vertAlign w:val="subscript"/>
              </w:rPr>
              <w:t>NH3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Pr="00461304" w:rsidRDefault="000C0E19" w:rsidP="000C0E19">
            <w:r w:rsidRPr="00461304">
              <w:t>Dusík amoniakální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OP</w:t>
            </w:r>
            <w:r w:rsidR="00817320">
              <w:t xml:space="preserve"> </w:t>
            </w:r>
            <w:r w:rsidRPr="00955205">
              <w:t xml:space="preserve">ŽP: </w:t>
            </w:r>
          </w:p>
        </w:tc>
        <w:tc>
          <w:tcPr>
            <w:tcW w:w="7479" w:type="dxa"/>
          </w:tcPr>
          <w:p w:rsidR="000C0E19" w:rsidRPr="00461304" w:rsidRDefault="000C0E19" w:rsidP="000C0E19">
            <w:r w:rsidRPr="00461304">
              <w:t>Operační program Životní prostředí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OZE: </w:t>
            </w:r>
          </w:p>
        </w:tc>
        <w:tc>
          <w:tcPr>
            <w:tcW w:w="7479" w:type="dxa"/>
          </w:tcPr>
          <w:p w:rsidR="000C0E19" w:rsidRPr="00461304" w:rsidRDefault="000C0E19" w:rsidP="000C0E19">
            <w:r w:rsidRPr="00461304">
              <w:t>Obnovitelné zdroje energie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P</w:t>
            </w:r>
            <w:r w:rsidRPr="00955205">
              <w:rPr>
                <w:vertAlign w:val="subscript"/>
              </w:rPr>
              <w:t>celk.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Pr="00461304" w:rsidRDefault="000C0E19" w:rsidP="000C0E19">
            <w:r w:rsidRPr="00461304">
              <w:t>Fosfor celkový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PM</w:t>
            </w:r>
            <w:r w:rsidRPr="00955205">
              <w:rPr>
                <w:vertAlign w:val="subscript"/>
              </w:rPr>
              <w:t>10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 xml:space="preserve">Suspendované částice velikostní frakce 10 </w:t>
            </w:r>
            <w:r w:rsidRPr="00623DDB">
              <w:rPr>
                <w:rFonts w:ascii="Symbol" w:hAnsi="Symbol"/>
              </w:rPr>
              <w:t></w:t>
            </w:r>
            <w:r w:rsidRPr="00623DDB">
              <w:t>g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PM</w:t>
            </w:r>
            <w:r w:rsidRPr="00955205">
              <w:rPr>
                <w:vertAlign w:val="subscript"/>
              </w:rPr>
              <w:t>2.5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 xml:space="preserve">Suspendované částice velikostní frakce 2,5 </w:t>
            </w:r>
            <w:r w:rsidRPr="00623DDB">
              <w:rPr>
                <w:rFonts w:ascii="Symbol" w:hAnsi="Symbol"/>
              </w:rPr>
              <w:t></w:t>
            </w:r>
            <w:r w:rsidRPr="00623DDB">
              <w:t>g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REZZO: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Registr emisí a zdrojů znečišťování ovzduší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SFŽP ČR: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Státní fond životního prostředí České republiky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TOC: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Celkový organický uhlík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TZL: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Tuhé znečišťující látky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CO</w:t>
            </w:r>
            <w:r w:rsidRPr="00955205">
              <w:rPr>
                <w:vertAlign w:val="subscript"/>
              </w:rPr>
              <w:t>2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oxid uhličitý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NH</w:t>
            </w:r>
            <w:r w:rsidRPr="00955205">
              <w:rPr>
                <w:vertAlign w:val="subscript"/>
              </w:rPr>
              <w:t>3</w:t>
            </w:r>
            <w:r w:rsidRPr="00955205">
              <w:t xml:space="preserve"> 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amoniak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NO</w:t>
            </w:r>
            <w:r w:rsidRPr="00955205">
              <w:rPr>
                <w:vertAlign w:val="subscript"/>
              </w:rPr>
              <w:t>X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oxidy dusíku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>SO</w:t>
            </w:r>
            <w:r w:rsidRPr="00955205">
              <w:rPr>
                <w:vertAlign w:val="subscript"/>
              </w:rPr>
              <w:t>2</w:t>
            </w:r>
            <w:r w:rsidRPr="00955205">
              <w:t xml:space="preserve">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oxid siřičitý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VOC: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Těkavé organické látky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Kg: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kilogram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Km: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kilometr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kt: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kilotuna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Mt: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megatuna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GWh: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Gigawatt-hodina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t: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tuna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r w:rsidRPr="00955205">
              <w:t xml:space="preserve">TJ: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>Terrajoule</w:t>
            </w:r>
          </w:p>
        </w:tc>
      </w:tr>
      <w:tr w:rsidR="000C0E19" w:rsidTr="003736AE">
        <w:tc>
          <w:tcPr>
            <w:tcW w:w="1089" w:type="dxa"/>
          </w:tcPr>
          <w:p w:rsidR="000C0E19" w:rsidRPr="00955205" w:rsidRDefault="000C0E19" w:rsidP="000C0E19">
            <w:pPr>
              <w:spacing w:line="276" w:lineRule="auto"/>
            </w:pPr>
            <w:r w:rsidRPr="00955205">
              <w:t xml:space="preserve">PJ: </w:t>
            </w:r>
          </w:p>
        </w:tc>
        <w:tc>
          <w:tcPr>
            <w:tcW w:w="7479" w:type="dxa"/>
          </w:tcPr>
          <w:p w:rsidR="000C0E19" w:rsidRPr="00623DDB" w:rsidRDefault="000C0E19" w:rsidP="000C0E19">
            <w:r w:rsidRPr="00623DDB">
              <w:t xml:space="preserve">Petajoule </w:t>
            </w:r>
          </w:p>
        </w:tc>
      </w:tr>
    </w:tbl>
    <w:p w:rsidR="007879D0" w:rsidRDefault="007879D0" w:rsidP="007879D0">
      <w:pPr>
        <w:rPr>
          <w:b/>
        </w:rPr>
      </w:pPr>
    </w:p>
    <w:p w:rsidR="007879D0" w:rsidRDefault="007879D0" w:rsidP="007879D0">
      <w:pPr>
        <w:rPr>
          <w:b/>
        </w:rPr>
      </w:pPr>
    </w:p>
    <w:p w:rsidR="007879D0" w:rsidRPr="002D5A40" w:rsidRDefault="007879D0" w:rsidP="007879D0">
      <w:pPr>
        <w:rPr>
          <w:b/>
        </w:rPr>
      </w:pPr>
    </w:p>
    <w:p w:rsidR="00DA2A0F" w:rsidRDefault="00DA2A0F"/>
    <w:sectPr w:rsidR="00DA2A0F" w:rsidSect="00DA2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6F9" w:rsidRDefault="004F66F9" w:rsidP="009E2C9A">
      <w:pPr>
        <w:spacing w:after="0" w:line="240" w:lineRule="auto"/>
      </w:pPr>
      <w:r>
        <w:separator/>
      </w:r>
    </w:p>
  </w:endnote>
  <w:endnote w:type="continuationSeparator" w:id="0">
    <w:p w:rsidR="004F66F9" w:rsidRDefault="004F66F9" w:rsidP="009E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6F9" w:rsidRDefault="004F66F9" w:rsidP="009E2C9A">
      <w:pPr>
        <w:spacing w:after="0" w:line="240" w:lineRule="auto"/>
      </w:pPr>
      <w:r>
        <w:separator/>
      </w:r>
    </w:p>
  </w:footnote>
  <w:footnote w:type="continuationSeparator" w:id="0">
    <w:p w:rsidR="004F66F9" w:rsidRDefault="004F66F9" w:rsidP="009E2C9A">
      <w:pPr>
        <w:spacing w:after="0" w:line="240" w:lineRule="auto"/>
      </w:pPr>
      <w:r>
        <w:continuationSeparator/>
      </w:r>
    </w:p>
  </w:footnote>
  <w:footnote w:id="1">
    <w:p w:rsidR="004F66F9" w:rsidRPr="000C27F7" w:rsidRDefault="004F66F9" w:rsidP="007879D0">
      <w:pPr>
        <w:pStyle w:val="Textpoznpodarou"/>
        <w:rPr>
          <w:lang w:val="cs-CZ"/>
        </w:rPr>
      </w:pPr>
      <w:r w:rsidRPr="000C27F7">
        <w:rPr>
          <w:rStyle w:val="Znakapoznpodarou"/>
          <w:lang w:val="cs-CZ"/>
        </w:rPr>
        <w:footnoteRef/>
      </w:r>
      <w:r w:rsidRPr="000C27F7">
        <w:rPr>
          <w:lang w:val="cs-CZ"/>
        </w:rPr>
        <w:t>Indikátor EPS je součtem primárních emisí suspendovaných částic a emisí prekurzorů násobených příslušnými koeficienty potenciálu tvorby sekundárních částic. Pro prekurzory sekundárních částic PM</w:t>
      </w:r>
      <w:r>
        <w:rPr>
          <w:vertAlign w:val="subscript"/>
          <w:lang w:val="cs-CZ"/>
        </w:rPr>
        <w:t>10</w:t>
      </w:r>
      <w:r w:rsidRPr="000C27F7">
        <w:rPr>
          <w:lang w:val="cs-CZ"/>
        </w:rPr>
        <w:t xml:space="preserve"> jsou stanoveny faktory potenciálu tvorby částic: NO</w:t>
      </w:r>
      <w:r>
        <w:rPr>
          <w:vertAlign w:val="subscript"/>
          <w:lang w:val="cs-CZ"/>
        </w:rPr>
        <w:t>X</w:t>
      </w:r>
      <w:r w:rsidRPr="000C27F7">
        <w:rPr>
          <w:lang w:val="cs-CZ"/>
        </w:rPr>
        <w:t xml:space="preserve"> = 0,88; SO</w:t>
      </w:r>
      <w:r>
        <w:rPr>
          <w:vertAlign w:val="subscript"/>
          <w:lang w:val="cs-CZ"/>
        </w:rPr>
        <w:t>2</w:t>
      </w:r>
      <w:r w:rsidRPr="000C27F7">
        <w:rPr>
          <w:lang w:val="cs-CZ"/>
        </w:rPr>
        <w:t xml:space="preserve"> = 0,54 a NH</w:t>
      </w:r>
      <w:r>
        <w:rPr>
          <w:vertAlign w:val="subscript"/>
          <w:lang w:val="cs-CZ"/>
        </w:rPr>
        <w:t>3</w:t>
      </w:r>
      <w:r w:rsidRPr="000C27F7">
        <w:rPr>
          <w:lang w:val="cs-CZ"/>
        </w:rPr>
        <w:t xml:space="preserve">  = 0,64.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93E7A"/>
    <w:multiLevelType w:val="hybridMultilevel"/>
    <w:tmpl w:val="2CA2D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705F7"/>
    <w:multiLevelType w:val="hybridMultilevel"/>
    <w:tmpl w:val="E9AC0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FA2820"/>
    <w:multiLevelType w:val="hybridMultilevel"/>
    <w:tmpl w:val="034CB282"/>
    <w:lvl w:ilvl="0" w:tplc="E95035E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B7ABC"/>
    <w:multiLevelType w:val="hybridMultilevel"/>
    <w:tmpl w:val="9C4E0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086DDA"/>
    <w:multiLevelType w:val="hybridMultilevel"/>
    <w:tmpl w:val="029801D4"/>
    <w:lvl w:ilvl="0" w:tplc="FAF2A4A0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E01879"/>
    <w:multiLevelType w:val="hybridMultilevel"/>
    <w:tmpl w:val="426A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61B68"/>
    <w:multiLevelType w:val="hybridMultilevel"/>
    <w:tmpl w:val="218A3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A00FC9"/>
    <w:multiLevelType w:val="hybridMultilevel"/>
    <w:tmpl w:val="A92A5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971C5A"/>
    <w:multiLevelType w:val="hybridMultilevel"/>
    <w:tmpl w:val="AE240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41555"/>
    <w:multiLevelType w:val="hybridMultilevel"/>
    <w:tmpl w:val="2B6E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B6BF8"/>
    <w:multiLevelType w:val="hybridMultilevel"/>
    <w:tmpl w:val="9C585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02125"/>
    <w:multiLevelType w:val="hybridMultilevel"/>
    <w:tmpl w:val="A1D03DC2"/>
    <w:lvl w:ilvl="0" w:tplc="A9165458">
      <w:start w:val="1"/>
      <w:numFmt w:val="decimal"/>
      <w:pStyle w:val="Nadpis3"/>
      <w:lvlText w:val="3. 1. %1"/>
      <w:lvlJc w:val="left"/>
      <w:pPr>
        <w:ind w:left="71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2004" w:hanging="360"/>
      </w:pPr>
    </w:lvl>
    <w:lvl w:ilvl="2" w:tplc="0405001B" w:tentative="1">
      <w:start w:val="1"/>
      <w:numFmt w:val="lowerRoman"/>
      <w:lvlText w:val="%3."/>
      <w:lvlJc w:val="right"/>
      <w:pPr>
        <w:ind w:left="2724" w:hanging="180"/>
      </w:pPr>
    </w:lvl>
    <w:lvl w:ilvl="3" w:tplc="0405000F" w:tentative="1">
      <w:start w:val="1"/>
      <w:numFmt w:val="decimal"/>
      <w:lvlText w:val="%4."/>
      <w:lvlJc w:val="left"/>
      <w:pPr>
        <w:ind w:left="3444" w:hanging="360"/>
      </w:pPr>
    </w:lvl>
    <w:lvl w:ilvl="4" w:tplc="04050019" w:tentative="1">
      <w:start w:val="1"/>
      <w:numFmt w:val="lowerLetter"/>
      <w:lvlText w:val="%5."/>
      <w:lvlJc w:val="left"/>
      <w:pPr>
        <w:ind w:left="4164" w:hanging="360"/>
      </w:pPr>
    </w:lvl>
    <w:lvl w:ilvl="5" w:tplc="0405001B" w:tentative="1">
      <w:start w:val="1"/>
      <w:numFmt w:val="lowerRoman"/>
      <w:lvlText w:val="%6."/>
      <w:lvlJc w:val="right"/>
      <w:pPr>
        <w:ind w:left="4884" w:hanging="180"/>
      </w:pPr>
    </w:lvl>
    <w:lvl w:ilvl="6" w:tplc="0405000F" w:tentative="1">
      <w:start w:val="1"/>
      <w:numFmt w:val="decimal"/>
      <w:lvlText w:val="%7."/>
      <w:lvlJc w:val="left"/>
      <w:pPr>
        <w:ind w:left="5604" w:hanging="360"/>
      </w:pPr>
    </w:lvl>
    <w:lvl w:ilvl="7" w:tplc="04050019" w:tentative="1">
      <w:start w:val="1"/>
      <w:numFmt w:val="lowerLetter"/>
      <w:lvlText w:val="%8."/>
      <w:lvlJc w:val="left"/>
      <w:pPr>
        <w:ind w:left="6324" w:hanging="360"/>
      </w:pPr>
    </w:lvl>
    <w:lvl w:ilvl="8" w:tplc="040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>
    <w:nsid w:val="2A926AA5"/>
    <w:multiLevelType w:val="hybridMultilevel"/>
    <w:tmpl w:val="33FC9F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F3F50"/>
    <w:multiLevelType w:val="hybridMultilevel"/>
    <w:tmpl w:val="4FE68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145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6923C" w:themeColor="accent3" w:themeShade="BF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971B07"/>
    <w:multiLevelType w:val="hybridMultilevel"/>
    <w:tmpl w:val="23D62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421AA2"/>
    <w:multiLevelType w:val="hybridMultilevel"/>
    <w:tmpl w:val="40EE4120"/>
    <w:lvl w:ilvl="0" w:tplc="FECA2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91262"/>
    <w:multiLevelType w:val="hybridMultilevel"/>
    <w:tmpl w:val="D49855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E1CE5"/>
    <w:multiLevelType w:val="hybridMultilevel"/>
    <w:tmpl w:val="786A1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6B6A88"/>
    <w:multiLevelType w:val="hybridMultilevel"/>
    <w:tmpl w:val="61BE5072"/>
    <w:lvl w:ilvl="0" w:tplc="3EB042DC">
      <w:start w:val="1"/>
      <w:numFmt w:val="decimal"/>
      <w:pStyle w:val="Nadpis4"/>
      <w:lvlText w:val="3. 2. %1"/>
      <w:lvlJc w:val="left"/>
      <w:pPr>
        <w:ind w:left="720" w:hanging="360"/>
      </w:pPr>
      <w:rPr>
        <w:rFonts w:ascii="Cambria" w:hAnsi="Cambria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21834"/>
    <w:multiLevelType w:val="hybridMultilevel"/>
    <w:tmpl w:val="7ACE94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025CA"/>
    <w:multiLevelType w:val="hybridMultilevel"/>
    <w:tmpl w:val="FCAA990A"/>
    <w:lvl w:ilvl="0" w:tplc="2410E2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F1701"/>
    <w:multiLevelType w:val="hybridMultilevel"/>
    <w:tmpl w:val="DD909078"/>
    <w:lvl w:ilvl="0" w:tplc="298C2F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4018B"/>
    <w:multiLevelType w:val="hybridMultilevel"/>
    <w:tmpl w:val="D9D67DDA"/>
    <w:lvl w:ilvl="0" w:tplc="C0228FAA">
      <w:start w:val="1"/>
      <w:numFmt w:val="decimal"/>
      <w:pStyle w:val="Nadpis2"/>
      <w:lvlText w:val="3. %1"/>
      <w:lvlJc w:val="left"/>
      <w:pPr>
        <w:ind w:left="1069" w:hanging="360"/>
      </w:pPr>
      <w:rPr>
        <w:rFonts w:hint="default"/>
        <w:b/>
        <w:i w:val="0"/>
        <w:sz w:val="32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91735D3"/>
    <w:multiLevelType w:val="hybridMultilevel"/>
    <w:tmpl w:val="A35ED022"/>
    <w:lvl w:ilvl="0" w:tplc="FF7CE9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70D53"/>
    <w:multiLevelType w:val="hybridMultilevel"/>
    <w:tmpl w:val="A6906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F25E3B"/>
    <w:multiLevelType w:val="hybridMultilevel"/>
    <w:tmpl w:val="A85452F2"/>
    <w:lvl w:ilvl="0" w:tplc="16F62A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6805D3"/>
    <w:multiLevelType w:val="hybridMultilevel"/>
    <w:tmpl w:val="451CA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E696A"/>
    <w:multiLevelType w:val="hybridMultilevel"/>
    <w:tmpl w:val="995CC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C41C0B"/>
    <w:multiLevelType w:val="hybridMultilevel"/>
    <w:tmpl w:val="A41C5B5E"/>
    <w:lvl w:ilvl="0" w:tplc="2556DCA8">
      <w:start w:val="4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BA6121"/>
    <w:multiLevelType w:val="hybridMultilevel"/>
    <w:tmpl w:val="F3C09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0555DA"/>
    <w:multiLevelType w:val="hybridMultilevel"/>
    <w:tmpl w:val="A5624E36"/>
    <w:lvl w:ilvl="0" w:tplc="2AE286F4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276D4E"/>
    <w:multiLevelType w:val="hybridMultilevel"/>
    <w:tmpl w:val="519AC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F5392C"/>
    <w:multiLevelType w:val="hybridMultilevel"/>
    <w:tmpl w:val="3EB27F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532D82"/>
    <w:multiLevelType w:val="hybridMultilevel"/>
    <w:tmpl w:val="EF788ADE"/>
    <w:lvl w:ilvl="0" w:tplc="5A5A87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475698"/>
    <w:multiLevelType w:val="hybridMultilevel"/>
    <w:tmpl w:val="EBFA6CE4"/>
    <w:lvl w:ilvl="0" w:tplc="C55E489E">
      <w:start w:val="1"/>
      <w:numFmt w:val="decimal"/>
      <w:pStyle w:val="Nadpis5"/>
      <w:lvlText w:val="3. 3.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B4133"/>
    <w:multiLevelType w:val="hybridMultilevel"/>
    <w:tmpl w:val="C8F85BA8"/>
    <w:lvl w:ilvl="0" w:tplc="6D90CF2E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568D0"/>
    <w:multiLevelType w:val="hybridMultilevel"/>
    <w:tmpl w:val="724898C0"/>
    <w:lvl w:ilvl="0" w:tplc="6834FBF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3843DB"/>
    <w:multiLevelType w:val="hybridMultilevel"/>
    <w:tmpl w:val="DAA0B246"/>
    <w:lvl w:ilvl="0" w:tplc="33B2B4F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3C70DC"/>
    <w:multiLevelType w:val="hybridMultilevel"/>
    <w:tmpl w:val="F434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72A28"/>
    <w:multiLevelType w:val="hybridMultilevel"/>
    <w:tmpl w:val="26B07FEC"/>
    <w:lvl w:ilvl="0" w:tplc="E5F813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1"/>
  </w:num>
  <w:num w:numId="4">
    <w:abstractNumId w:val="14"/>
  </w:num>
  <w:num w:numId="5">
    <w:abstractNumId w:val="12"/>
  </w:num>
  <w:num w:numId="6">
    <w:abstractNumId w:val="9"/>
  </w:num>
  <w:num w:numId="7">
    <w:abstractNumId w:val="17"/>
  </w:num>
  <w:num w:numId="8">
    <w:abstractNumId w:val="5"/>
  </w:num>
  <w:num w:numId="9">
    <w:abstractNumId w:val="13"/>
  </w:num>
  <w:num w:numId="10">
    <w:abstractNumId w:val="25"/>
  </w:num>
  <w:num w:numId="11">
    <w:abstractNumId w:val="7"/>
  </w:num>
  <w:num w:numId="12">
    <w:abstractNumId w:val="6"/>
  </w:num>
  <w:num w:numId="13">
    <w:abstractNumId w:val="18"/>
  </w:num>
  <w:num w:numId="14">
    <w:abstractNumId w:val="32"/>
  </w:num>
  <w:num w:numId="15">
    <w:abstractNumId w:val="3"/>
  </w:num>
  <w:num w:numId="16">
    <w:abstractNumId w:val="29"/>
  </w:num>
  <w:num w:numId="17">
    <w:abstractNumId w:val="27"/>
  </w:num>
  <w:num w:numId="18">
    <w:abstractNumId w:val="36"/>
  </w:num>
  <w:num w:numId="19">
    <w:abstractNumId w:val="10"/>
  </w:num>
  <w:num w:numId="20">
    <w:abstractNumId w:val="31"/>
  </w:num>
  <w:num w:numId="21">
    <w:abstractNumId w:val="2"/>
  </w:num>
  <w:num w:numId="22">
    <w:abstractNumId w:val="1"/>
  </w:num>
  <w:num w:numId="23">
    <w:abstractNumId w:val="34"/>
  </w:num>
  <w:num w:numId="24">
    <w:abstractNumId w:val="0"/>
  </w:num>
  <w:num w:numId="25">
    <w:abstractNumId w:val="21"/>
  </w:num>
  <w:num w:numId="26">
    <w:abstractNumId w:val="8"/>
  </w:num>
  <w:num w:numId="27">
    <w:abstractNumId w:val="40"/>
  </w:num>
  <w:num w:numId="28">
    <w:abstractNumId w:val="30"/>
  </w:num>
  <w:num w:numId="29">
    <w:abstractNumId w:val="33"/>
  </w:num>
  <w:num w:numId="30">
    <w:abstractNumId w:val="39"/>
  </w:num>
  <w:num w:numId="31">
    <w:abstractNumId w:val="24"/>
  </w:num>
  <w:num w:numId="32">
    <w:abstractNumId w:val="15"/>
  </w:num>
  <w:num w:numId="33">
    <w:abstractNumId w:val="38"/>
  </w:num>
  <w:num w:numId="34">
    <w:abstractNumId w:val="4"/>
  </w:num>
  <w:num w:numId="35">
    <w:abstractNumId w:val="26"/>
  </w:num>
  <w:num w:numId="36">
    <w:abstractNumId w:val="28"/>
  </w:num>
  <w:num w:numId="37">
    <w:abstractNumId w:val="16"/>
  </w:num>
  <w:num w:numId="38">
    <w:abstractNumId w:val="20"/>
  </w:num>
  <w:num w:numId="39">
    <w:abstractNumId w:val="22"/>
  </w:num>
  <w:num w:numId="40">
    <w:abstractNumId w:val="37"/>
  </w:num>
  <w:num w:numId="41">
    <w:abstractNumId w:val="19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868"/>
    <w:rsid w:val="000155DB"/>
    <w:rsid w:val="000455A1"/>
    <w:rsid w:val="000C0E19"/>
    <w:rsid w:val="000C43DC"/>
    <w:rsid w:val="001026BF"/>
    <w:rsid w:val="00127491"/>
    <w:rsid w:val="0014218B"/>
    <w:rsid w:val="00172B4F"/>
    <w:rsid w:val="00222B2F"/>
    <w:rsid w:val="002B6D4E"/>
    <w:rsid w:val="002E05BD"/>
    <w:rsid w:val="003255A2"/>
    <w:rsid w:val="0034344F"/>
    <w:rsid w:val="003736AE"/>
    <w:rsid w:val="00376031"/>
    <w:rsid w:val="004261E3"/>
    <w:rsid w:val="00437F1C"/>
    <w:rsid w:val="00452AE3"/>
    <w:rsid w:val="004758DD"/>
    <w:rsid w:val="004B19ED"/>
    <w:rsid w:val="004F66F9"/>
    <w:rsid w:val="005164E3"/>
    <w:rsid w:val="00526250"/>
    <w:rsid w:val="005D64C5"/>
    <w:rsid w:val="005E446F"/>
    <w:rsid w:val="0065369D"/>
    <w:rsid w:val="007879D0"/>
    <w:rsid w:val="007A0CEC"/>
    <w:rsid w:val="007B3CDE"/>
    <w:rsid w:val="007D7F9E"/>
    <w:rsid w:val="007E10DC"/>
    <w:rsid w:val="00817320"/>
    <w:rsid w:val="00834989"/>
    <w:rsid w:val="008403FF"/>
    <w:rsid w:val="008560C2"/>
    <w:rsid w:val="008C7C54"/>
    <w:rsid w:val="00901BD4"/>
    <w:rsid w:val="009E2C9A"/>
    <w:rsid w:val="00A70FDB"/>
    <w:rsid w:val="00A902FF"/>
    <w:rsid w:val="00AE54C4"/>
    <w:rsid w:val="00B00985"/>
    <w:rsid w:val="00B17940"/>
    <w:rsid w:val="00B22C62"/>
    <w:rsid w:val="00B5783E"/>
    <w:rsid w:val="00B60665"/>
    <w:rsid w:val="00C1630F"/>
    <w:rsid w:val="00C51EE8"/>
    <w:rsid w:val="00CC3868"/>
    <w:rsid w:val="00CE5A27"/>
    <w:rsid w:val="00CF5A9C"/>
    <w:rsid w:val="00D47562"/>
    <w:rsid w:val="00DA2A0F"/>
    <w:rsid w:val="00DB6293"/>
    <w:rsid w:val="00E11CE0"/>
    <w:rsid w:val="00EF31DF"/>
    <w:rsid w:val="00F51282"/>
    <w:rsid w:val="00F7424E"/>
    <w:rsid w:val="00FB07EC"/>
    <w:rsid w:val="00FC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871CA-D047-4563-A3D9-B5A01C80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C9A"/>
    <w:pPr>
      <w:spacing w:after="100" w:afterAutospacing="1"/>
      <w:jc w:val="both"/>
    </w:pPr>
    <w:rPr>
      <w:rFonts w:ascii="Cambria" w:eastAsiaTheme="minorEastAsia" w:hAnsi="Cambr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46F"/>
    <w:pPr>
      <w:keepNext/>
      <w:keepLines/>
      <w:numPr>
        <w:numId w:val="4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76923C" w:themeColor="accent3" w:themeShade="BF"/>
      <w:sz w:val="32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54C4"/>
    <w:pPr>
      <w:keepNext/>
      <w:keepLines/>
      <w:numPr>
        <w:numId w:val="2"/>
      </w:numPr>
      <w:spacing w:before="200"/>
      <w:outlineLvl w:val="1"/>
    </w:pPr>
    <w:rPr>
      <w:rFonts w:asciiTheme="majorHAnsi" w:eastAsiaTheme="minorHAnsi" w:hAnsiTheme="majorHAnsi" w:cstheme="majorBidi"/>
      <w:b/>
      <w:bCs/>
      <w:color w:val="76923C" w:themeColor="accent3" w:themeShade="BF"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E5A27"/>
    <w:pPr>
      <w:keepNext/>
      <w:keepLines/>
      <w:numPr>
        <w:numId w:val="3"/>
      </w:numPr>
      <w:outlineLvl w:val="2"/>
    </w:pPr>
    <w:rPr>
      <w:rFonts w:asciiTheme="majorHAnsi" w:eastAsiaTheme="majorEastAsia" w:hAnsiTheme="majorHAnsi" w:cstheme="majorBidi"/>
      <w:b/>
      <w:bCs/>
      <w:color w:val="76923C" w:themeColor="accent3" w:themeShade="BF"/>
      <w:sz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455A1"/>
    <w:pPr>
      <w:keepNext/>
      <w:keepLines/>
      <w:numPr>
        <w:numId w:val="41"/>
      </w:numPr>
      <w:spacing w:before="200" w:after="0" w:afterAutospacing="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22B2F"/>
    <w:pPr>
      <w:keepNext/>
      <w:keepLines/>
      <w:numPr>
        <w:numId w:val="42"/>
      </w:numPr>
      <w:spacing w:before="200" w:after="0" w:afterAutospacing="0"/>
      <w:outlineLvl w:val="4"/>
    </w:pPr>
    <w:rPr>
      <w:rFonts w:asciiTheme="majorHAnsi" w:eastAsiaTheme="majorEastAsia" w:hAnsiTheme="majorHAnsi" w:cstheme="majorBidi"/>
      <w:b/>
      <w:color w:val="76923C" w:themeColor="accent3" w:themeShade="BF"/>
      <w:sz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446F"/>
    <w:rPr>
      <w:rFonts w:asciiTheme="majorHAnsi" w:eastAsiaTheme="majorEastAsia" w:hAnsiTheme="majorHAnsi" w:cstheme="majorBidi"/>
      <w:b/>
      <w:bCs/>
      <w:color w:val="76923C" w:themeColor="accent3" w:themeShade="BF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E54C4"/>
    <w:rPr>
      <w:rFonts w:asciiTheme="majorHAnsi" w:hAnsiTheme="majorHAnsi" w:cstheme="majorBidi"/>
      <w:b/>
      <w:bCs/>
      <w:color w:val="76923C" w:themeColor="accent3" w:themeShade="BF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E5A27"/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0455A1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22B2F"/>
    <w:rPr>
      <w:rFonts w:asciiTheme="majorHAnsi" w:eastAsiaTheme="majorEastAsia" w:hAnsiTheme="majorHAnsi" w:cstheme="majorBidi"/>
      <w:b/>
      <w:color w:val="76923C" w:themeColor="accent3" w:themeShade="BF"/>
      <w:sz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255A2"/>
    <w:pPr>
      <w:spacing w:after="240" w:afterAutospacing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3255A2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Titulek">
    <w:name w:val="caption"/>
    <w:basedOn w:val="Normln"/>
    <w:next w:val="Normln"/>
    <w:uiPriority w:val="99"/>
    <w:unhideWhenUsed/>
    <w:qFormat/>
    <w:rsid w:val="003255A2"/>
    <w:pPr>
      <w:spacing w:after="0" w:afterAutospacing="0" w:line="240" w:lineRule="auto"/>
    </w:pPr>
    <w:rPr>
      <w:rFonts w:eastAsiaTheme="minorHAnsi"/>
      <w:b/>
      <w:bCs/>
      <w:color w:val="76923C" w:themeColor="accent3" w:themeShade="BF"/>
      <w:sz w:val="18"/>
      <w:szCs w:val="18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255A2"/>
    <w:pPr>
      <w:pBdr>
        <w:bottom w:val="single" w:sz="8" w:space="4" w:color="4F81BD" w:themeColor="accent1"/>
      </w:pBdr>
      <w:spacing w:after="300" w:afterAutospacing="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255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3255A2"/>
    <w:pPr>
      <w:numPr>
        <w:ilvl w:val="1"/>
      </w:numPr>
      <w:spacing w:after="0" w:afterAutospacing="0"/>
    </w:pPr>
    <w:rPr>
      <w:rFonts w:eastAsia="Times New Roman" w:cs="Cambria"/>
      <w:i/>
      <w:iCs/>
      <w:color w:val="4F81BD"/>
      <w:spacing w:val="15"/>
      <w:lang w:eastAsia="en-US"/>
    </w:rPr>
  </w:style>
  <w:style w:type="character" w:customStyle="1" w:styleId="PodtitulChar">
    <w:name w:val="Podtitul Char"/>
    <w:basedOn w:val="Standardnpsmoodstavce"/>
    <w:link w:val="Podtitul"/>
    <w:uiPriority w:val="99"/>
    <w:rsid w:val="003255A2"/>
    <w:rPr>
      <w:rFonts w:ascii="Cambria" w:eastAsia="Times New Roman" w:hAnsi="Cambria" w:cs="Cambria"/>
      <w:i/>
      <w:iCs/>
      <w:color w:val="4F81BD"/>
      <w:spacing w:val="15"/>
      <w:lang w:eastAsia="en-US"/>
    </w:rPr>
  </w:style>
  <w:style w:type="paragraph" w:styleId="Bezmezer">
    <w:name w:val="No Spacing"/>
    <w:link w:val="BezmezerChar"/>
    <w:uiPriority w:val="1"/>
    <w:qFormat/>
    <w:rsid w:val="003255A2"/>
    <w:pPr>
      <w:spacing w:after="0" w:line="240" w:lineRule="auto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3255A2"/>
    <w:rPr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255A2"/>
    <w:pPr>
      <w:spacing w:after="0" w:afterAutospacing="0"/>
      <w:ind w:left="720"/>
      <w:contextualSpacing/>
    </w:pPr>
    <w:rPr>
      <w:rFonts w:eastAsiaTheme="minorHAnsi"/>
      <w:lang w:eastAsia="en-US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locked/>
    <w:rsid w:val="003255A2"/>
    <w:rPr>
      <w:rFonts w:ascii="Cambria" w:hAnsi="Cambria"/>
    </w:rPr>
  </w:style>
  <w:style w:type="character" w:styleId="Odkazjemn">
    <w:name w:val="Subtle Reference"/>
    <w:basedOn w:val="Standardnpsmoodstavce"/>
    <w:uiPriority w:val="31"/>
    <w:qFormat/>
    <w:rsid w:val="003255A2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3255A2"/>
    <w:rPr>
      <w:b/>
      <w:bCs/>
      <w:smallCaps/>
      <w:color w:val="C0504D" w:themeColor="accent2"/>
      <w:spacing w:val="5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255A2"/>
    <w:pPr>
      <w:numPr>
        <w:numId w:val="0"/>
      </w:numPr>
      <w:outlineLvl w:val="9"/>
    </w:pPr>
    <w:rPr>
      <w:sz w:val="28"/>
      <w:lang w:val="en-US"/>
    </w:rPr>
  </w:style>
  <w:style w:type="paragraph" w:customStyle="1" w:styleId="Poznmkapodarou">
    <w:name w:val="Poznámka pod čarou"/>
    <w:basedOn w:val="Normln"/>
    <w:qFormat/>
    <w:rsid w:val="003255A2"/>
    <w:pPr>
      <w:spacing w:after="0" w:afterAutospacing="0"/>
    </w:pPr>
    <w:rPr>
      <w:rFonts w:eastAsiaTheme="minorHAnsi"/>
      <w:sz w:val="20"/>
      <w:lang w:eastAsia="en-US"/>
    </w:rPr>
  </w:style>
  <w:style w:type="paragraph" w:customStyle="1" w:styleId="Odstavecseseznamem1">
    <w:name w:val="Odstavec se seznamem1"/>
    <w:basedOn w:val="Normln"/>
    <w:qFormat/>
    <w:rsid w:val="003255A2"/>
    <w:pPr>
      <w:spacing w:after="0" w:afterAutospacing="0"/>
      <w:ind w:left="720"/>
      <w:contextualSpacing/>
    </w:pPr>
    <w:rPr>
      <w:rFonts w:eastAsia="Times New Roman" w:cs="Times New Roman"/>
      <w:lang w:eastAsia="en-US"/>
    </w:rPr>
  </w:style>
  <w:style w:type="paragraph" w:customStyle="1" w:styleId="TextMetodika">
    <w:name w:val="Text Metodika"/>
    <w:basedOn w:val="Normln"/>
    <w:link w:val="TextMetodikaChar"/>
    <w:qFormat/>
    <w:rsid w:val="003255A2"/>
    <w:pPr>
      <w:spacing w:before="120" w:after="120" w:afterAutospacing="0" w:line="312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TextMetodikaChar">
    <w:name w:val="Text Metodika Char"/>
    <w:basedOn w:val="Standardnpsmoodstavce"/>
    <w:link w:val="TextMetodika"/>
    <w:rsid w:val="003255A2"/>
    <w:rPr>
      <w:rFonts w:ascii="Arial" w:eastAsia="Times New Roman" w:hAnsi="Arial" w:cs="Arial"/>
      <w:sz w:val="20"/>
      <w:szCs w:val="20"/>
    </w:rPr>
  </w:style>
  <w:style w:type="paragraph" w:customStyle="1" w:styleId="DAVA">
    <w:name w:val="DAVA"/>
    <w:basedOn w:val="Normln"/>
    <w:link w:val="DAVAChar"/>
    <w:qFormat/>
    <w:rsid w:val="003255A2"/>
    <w:pPr>
      <w:spacing w:before="120" w:after="0" w:afterAutospacing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DAVAChar">
    <w:name w:val="DAVA Char"/>
    <w:basedOn w:val="Standardnpsmoodstavce"/>
    <w:link w:val="DAVA"/>
    <w:locked/>
    <w:rsid w:val="003255A2"/>
    <w:rPr>
      <w:rFonts w:ascii="Calibri" w:eastAsia="Calibri" w:hAnsi="Calibri" w:cs="Calibri"/>
      <w:sz w:val="24"/>
      <w:szCs w:val="24"/>
      <w:lang w:eastAsia="en-US"/>
    </w:rPr>
  </w:style>
  <w:style w:type="paragraph" w:customStyle="1" w:styleId="Odstavecseseznamem3">
    <w:name w:val="Odstavec se seznamem3"/>
    <w:basedOn w:val="Normln"/>
    <w:link w:val="ListParagraphChar"/>
    <w:uiPriority w:val="99"/>
    <w:qFormat/>
    <w:rsid w:val="003255A2"/>
    <w:pPr>
      <w:spacing w:after="200" w:afterAutospacing="0"/>
      <w:ind w:left="720"/>
      <w:jc w:val="left"/>
    </w:pPr>
    <w:rPr>
      <w:rFonts w:ascii="Calibri" w:eastAsia="Calibri" w:hAnsi="Calibri" w:cs="Calibri"/>
      <w:lang w:eastAsia="en-US"/>
    </w:rPr>
  </w:style>
  <w:style w:type="character" w:customStyle="1" w:styleId="ListParagraphChar">
    <w:name w:val="List Paragraph Char"/>
    <w:basedOn w:val="Standardnpsmoodstavce"/>
    <w:link w:val="Odstavecseseznamem3"/>
    <w:uiPriority w:val="99"/>
    <w:locked/>
    <w:rsid w:val="003255A2"/>
    <w:rPr>
      <w:rFonts w:ascii="Calibri" w:eastAsia="Calibri" w:hAnsi="Calibri" w:cs="Calibri"/>
      <w:lang w:eastAsia="en-US"/>
    </w:rPr>
  </w:style>
  <w:style w:type="paragraph" w:customStyle="1" w:styleId="Odstavecseseznamem4">
    <w:name w:val="Odstavec se seznamem4"/>
    <w:basedOn w:val="Normln"/>
    <w:uiPriority w:val="99"/>
    <w:qFormat/>
    <w:rsid w:val="003255A2"/>
    <w:pPr>
      <w:spacing w:after="200" w:afterAutospacing="0"/>
      <w:ind w:left="720"/>
      <w:jc w:val="left"/>
    </w:pPr>
    <w:rPr>
      <w:rFonts w:ascii="Calibri" w:eastAsia="Calibri" w:hAnsi="Calibri" w:cs="Calibri"/>
      <w:lang w:eastAsia="en-US"/>
    </w:rPr>
  </w:style>
  <w:style w:type="paragraph" w:customStyle="1" w:styleId="Standardntext">
    <w:name w:val="Standardní text"/>
    <w:basedOn w:val="Normln"/>
    <w:link w:val="StandardntextChar"/>
    <w:qFormat/>
    <w:rsid w:val="003255A2"/>
    <w:pPr>
      <w:overflowPunct w:val="0"/>
      <w:autoSpaceDE w:val="0"/>
      <w:autoSpaceDN w:val="0"/>
      <w:adjustRightInd w:val="0"/>
      <w:spacing w:after="120" w:afterAutospacing="0" w:line="240" w:lineRule="auto"/>
      <w:textAlignment w:val="baseline"/>
    </w:pPr>
    <w:rPr>
      <w:rFonts w:ascii="Times New Roman" w:eastAsia="Times New Roman" w:hAnsi="Times New Roman" w:cs="Calibri"/>
      <w:sz w:val="24"/>
      <w:szCs w:val="24"/>
      <w:lang w:eastAsia="en-US"/>
    </w:rPr>
  </w:style>
  <w:style w:type="character" w:customStyle="1" w:styleId="StandardntextChar">
    <w:name w:val="Standardní text Char"/>
    <w:link w:val="Standardntext"/>
    <w:rsid w:val="003255A2"/>
    <w:rPr>
      <w:rFonts w:ascii="Times New Roman" w:eastAsia="Times New Roman" w:hAnsi="Times New Roman" w:cs="Calibri"/>
      <w:sz w:val="24"/>
      <w:szCs w:val="24"/>
    </w:rPr>
  </w:style>
  <w:style w:type="paragraph" w:customStyle="1" w:styleId="Modrnadpis">
    <w:name w:val="Modrý nadpis"/>
    <w:basedOn w:val="Nadpis4"/>
    <w:link w:val="ModrnadpisChar"/>
    <w:qFormat/>
    <w:rsid w:val="003255A2"/>
    <w:pPr>
      <w:spacing w:before="240" w:after="120"/>
      <w:ind w:left="862" w:hanging="862"/>
    </w:pPr>
    <w:rPr>
      <w:rFonts w:ascii="Times New Roman" w:eastAsia="Times New Roman" w:hAnsi="Times New Roman" w:cs="Times New Roman"/>
      <w:i/>
      <w:color w:val="548DD4"/>
      <w:szCs w:val="20"/>
    </w:rPr>
  </w:style>
  <w:style w:type="character" w:customStyle="1" w:styleId="ModrnadpisChar">
    <w:name w:val="Modrý nadpis Char"/>
    <w:link w:val="Modrnadpis"/>
    <w:rsid w:val="003255A2"/>
    <w:rPr>
      <w:rFonts w:ascii="Times New Roman" w:eastAsia="Times New Roman" w:hAnsi="Times New Roman" w:cs="Times New Roman"/>
      <w:b/>
      <w:bCs/>
      <w:iCs/>
      <w:color w:val="548DD4"/>
      <w:sz w:val="24"/>
      <w:szCs w:val="20"/>
    </w:rPr>
  </w:style>
  <w:style w:type="paragraph" w:customStyle="1" w:styleId="Odstavec">
    <w:name w:val="Odstavec"/>
    <w:basedOn w:val="Normln"/>
    <w:qFormat/>
    <w:rsid w:val="003255A2"/>
    <w:pPr>
      <w:spacing w:after="60" w:afterAutospacing="0" w:line="240" w:lineRule="auto"/>
    </w:pPr>
    <w:rPr>
      <w:rFonts w:asciiTheme="minorHAnsi" w:eastAsiaTheme="minorHAnsi" w:hAnsiTheme="minorHAnsi" w:cs="Times New Roman"/>
      <w:szCs w:val="24"/>
      <w:lang w:eastAsia="en-US"/>
    </w:rPr>
  </w:style>
  <w:style w:type="paragraph" w:customStyle="1" w:styleId="text">
    <w:name w:val="text"/>
    <w:basedOn w:val="Normln"/>
    <w:qFormat/>
    <w:rsid w:val="003255A2"/>
    <w:pPr>
      <w:spacing w:before="12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ulka">
    <w:name w:val="Tabulka"/>
    <w:basedOn w:val="Normln"/>
    <w:link w:val="TabulkaChar"/>
    <w:qFormat/>
    <w:rsid w:val="003255A2"/>
    <w:pPr>
      <w:autoSpaceDE w:val="0"/>
      <w:autoSpaceDN w:val="0"/>
      <w:adjustRightInd w:val="0"/>
      <w:spacing w:before="60" w:after="60" w:afterAutospacing="0" w:line="240" w:lineRule="auto"/>
      <w:jc w:val="center"/>
    </w:pPr>
    <w:rPr>
      <w:rFonts w:ascii="Calibri" w:eastAsia="Times New Roman" w:hAnsi="Calibri" w:cs="Calibri"/>
      <w:lang w:eastAsia="en-US"/>
    </w:rPr>
  </w:style>
  <w:style w:type="character" w:customStyle="1" w:styleId="TabulkaChar">
    <w:name w:val="Tabulka Char"/>
    <w:link w:val="Tabulka"/>
    <w:rsid w:val="003255A2"/>
    <w:rPr>
      <w:rFonts w:ascii="Calibri" w:eastAsia="Times New Roman" w:hAnsi="Calibri" w:cs="Calibri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.Char Car Car Car Car,4_G"/>
    <w:uiPriority w:val="99"/>
    <w:rsid w:val="009E2C9A"/>
    <w:rPr>
      <w:vertAlign w:val="superscript"/>
    </w:rPr>
  </w:style>
  <w:style w:type="table" w:styleId="Mkatabulky">
    <w:name w:val="Table Grid"/>
    <w:basedOn w:val="Normlntabulka"/>
    <w:uiPriority w:val="39"/>
    <w:rsid w:val="009E2C9A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7879D0"/>
    <w:pPr>
      <w:ind w:left="220"/>
    </w:pPr>
  </w:style>
  <w:style w:type="paragraph" w:styleId="Zhlav">
    <w:name w:val="header"/>
    <w:basedOn w:val="Normln"/>
    <w:link w:val="ZhlavChar"/>
    <w:uiPriority w:val="99"/>
    <w:unhideWhenUsed/>
    <w:rsid w:val="007879D0"/>
    <w:pPr>
      <w:tabs>
        <w:tab w:val="center" w:pos="4536"/>
        <w:tab w:val="right" w:pos="9072"/>
      </w:tabs>
      <w:spacing w:after="0" w:afterAutospacing="0" w:line="240" w:lineRule="auto"/>
      <w:jc w:val="left"/>
    </w:pPr>
    <w:rPr>
      <w:rFonts w:asciiTheme="minorHAnsi" w:eastAsiaTheme="minorHAnsi" w:hAnsiTheme="minorHAnsi"/>
      <w:lang w:val="en-GB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79D0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7879D0"/>
    <w:pPr>
      <w:tabs>
        <w:tab w:val="center" w:pos="4536"/>
        <w:tab w:val="right" w:pos="9072"/>
      </w:tabs>
      <w:spacing w:after="0" w:afterAutospacing="0" w:line="240" w:lineRule="auto"/>
      <w:jc w:val="left"/>
    </w:pPr>
    <w:rPr>
      <w:rFonts w:asciiTheme="minorHAnsi" w:eastAsiaTheme="minorHAnsi" w:hAnsiTheme="minorHAnsi"/>
      <w:lang w:val="en-GB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79D0"/>
    <w:rPr>
      <w:lang w:val="en-GB"/>
    </w:rPr>
  </w:style>
  <w:style w:type="character" w:styleId="Hypertextovodkaz">
    <w:name w:val="Hyperlink"/>
    <w:basedOn w:val="Standardnpsmoodstavce"/>
    <w:uiPriority w:val="99"/>
    <w:unhideWhenUsed/>
    <w:rsid w:val="007879D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79D0"/>
    <w:pPr>
      <w:spacing w:after="0" w:afterAutospacing="0" w:line="240" w:lineRule="auto"/>
      <w:jc w:val="left"/>
    </w:pPr>
    <w:rPr>
      <w:rFonts w:ascii="Segoe UI" w:eastAsiaTheme="minorHAnsi" w:hAnsi="Segoe UI" w:cs="Segoe UI"/>
      <w:sz w:val="18"/>
      <w:szCs w:val="18"/>
      <w:lang w:val="en-GB"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9D0"/>
    <w:rPr>
      <w:rFonts w:ascii="Segoe UI" w:hAnsi="Segoe UI" w:cs="Segoe UI"/>
      <w:sz w:val="18"/>
      <w:szCs w:val="18"/>
      <w:lang w:val="en-GB"/>
    </w:rPr>
  </w:style>
  <w:style w:type="paragraph" w:styleId="Obsah1">
    <w:name w:val="toc 1"/>
    <w:basedOn w:val="Normln"/>
    <w:next w:val="Normln"/>
    <w:autoRedefine/>
    <w:uiPriority w:val="39"/>
    <w:unhideWhenUsed/>
    <w:rsid w:val="00D47562"/>
    <w:pPr>
      <w:spacing w:afterAutospacing="0" w:line="259" w:lineRule="auto"/>
      <w:jc w:val="left"/>
    </w:pPr>
    <w:rPr>
      <w:rFonts w:eastAsiaTheme="minorHAnsi"/>
      <w:lang w:val="en-GB"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879D0"/>
    <w:pPr>
      <w:spacing w:afterAutospacing="0" w:line="259" w:lineRule="auto"/>
      <w:ind w:left="440"/>
      <w:jc w:val="left"/>
    </w:pPr>
    <w:rPr>
      <w:rFonts w:asciiTheme="minorHAnsi" w:eastAsiaTheme="minorHAnsi" w:hAnsiTheme="minorHAnsi"/>
      <w:lang w:val="en-GB"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47562"/>
    <w:pPr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47562"/>
    <w:pPr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agri.cz/public/web/mze/voda/osveta-a-publikace/publikace-a-dokumenty/modre-zpravy/" TargetMode="External"/><Relationship Id="rId18" Type="http://schemas.openxmlformats.org/officeDocument/2006/relationships/hyperlink" Target="http://eagri.cz/public/web/mze/voda/osveta-a-publikace/publikace-a-dokumenty/vodovody-a-kanalizace/" TargetMode="External"/><Relationship Id="rId26" Type="http://schemas.openxmlformats.org/officeDocument/2006/relationships/hyperlink" Target="http://eagri.cz/public/web/mze/voda/osveta-a-publikace/publikace-a-dokumenty/vodovody-a-kanalizace/" TargetMode="External"/><Relationship Id="rId39" Type="http://schemas.openxmlformats.org/officeDocument/2006/relationships/hyperlink" Target="http://www.mzp.cz/cz/statisticka_rocenka_zivotniho_prostredi_publikace" TargetMode="External"/><Relationship Id="rId21" Type="http://schemas.openxmlformats.org/officeDocument/2006/relationships/hyperlink" Target="http://eagri.cz/public/web/mze/voda/osveta-a-publikace/publikace-a-dokumenty/modre-zpravy/" TargetMode="External"/><Relationship Id="rId34" Type="http://schemas.openxmlformats.org/officeDocument/2006/relationships/hyperlink" Target="http://eagri.cz/public/web/mze/voda/osveta-a-publikace/publikace-a-dokumenty/vodovody-a-kanalizace/" TargetMode="External"/><Relationship Id="rId42" Type="http://schemas.openxmlformats.org/officeDocument/2006/relationships/hyperlink" Target="http://eagri.cz/public/web/mze/voda/osveta-a-publikace/publikace-a-dokumenty/vodovody-a-kanalizace/" TargetMode="External"/><Relationship Id="rId47" Type="http://schemas.openxmlformats.org/officeDocument/2006/relationships/hyperlink" Target="http://www.mzp.cz/cz/statisticka_rocenka_zivotniho_prostredi_publikace" TargetMode="External"/><Relationship Id="rId50" Type="http://schemas.openxmlformats.org/officeDocument/2006/relationships/hyperlink" Target="http://portal.chmi.cz/files/portal/docs/uoco/oez/emisnibilance_CZ.html" TargetMode="External"/><Relationship Id="rId55" Type="http://schemas.openxmlformats.org/officeDocument/2006/relationships/hyperlink" Target="http://www.mzp.cz/cz/statisticka_rocenka_zivotniho_prostredi_publikace" TargetMode="External"/><Relationship Id="rId63" Type="http://schemas.openxmlformats.org/officeDocument/2006/relationships/hyperlink" Target="http://www.mzp.cz/cz/statisticka_rocenka_zivotniho_prostredi_publikace" TargetMode="External"/><Relationship Id="rId68" Type="http://schemas.openxmlformats.org/officeDocument/2006/relationships/hyperlink" Target="http://www.opzp.cz/sekce/522/vyrocni-zpravy/" TargetMode="External"/><Relationship Id="rId76" Type="http://schemas.openxmlformats.org/officeDocument/2006/relationships/hyperlink" Target="http://www.mzp.cz/cz/statisticka_rocenka_zivotniho_prostredi_publikace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mzp.cz/cz/statisticka_rocenka_zivotniho_prostredi_publika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pzp.cz/sekce/522/vyrocni-zpravy/" TargetMode="External"/><Relationship Id="rId29" Type="http://schemas.openxmlformats.org/officeDocument/2006/relationships/hyperlink" Target="http://eagri.cz/public/web/mze/voda/osveta-a-publikace/publikace-a-dokumenty/modre-zpravy/" TargetMode="External"/><Relationship Id="rId11" Type="http://schemas.openxmlformats.org/officeDocument/2006/relationships/hyperlink" Target="http://www.mzp.cz/cz/statisticka_rocenka_zivotniho_prostredi_publikace" TargetMode="External"/><Relationship Id="rId24" Type="http://schemas.openxmlformats.org/officeDocument/2006/relationships/hyperlink" Target="http://www.opzp.cz/sekce/522/vyrocni-zpravy/" TargetMode="External"/><Relationship Id="rId32" Type="http://schemas.openxmlformats.org/officeDocument/2006/relationships/hyperlink" Target="http://www.opzp.cz/sekce/522/vyrocni-zpravy/" TargetMode="External"/><Relationship Id="rId37" Type="http://schemas.openxmlformats.org/officeDocument/2006/relationships/hyperlink" Target="http://eagri.cz/public/web/mze/voda/osveta-a-publikace/publikace-a-dokumenty/modre-zpravy/" TargetMode="External"/><Relationship Id="rId40" Type="http://schemas.openxmlformats.org/officeDocument/2006/relationships/hyperlink" Target="http://www.opzp.cz/sekce/522/vyrocni-zpravy/" TargetMode="External"/><Relationship Id="rId45" Type="http://schemas.openxmlformats.org/officeDocument/2006/relationships/hyperlink" Target="http://portal.chmi.cz/files/portal/docs/uoco/isko/grafroc/grafroc_CZ.html" TargetMode="External"/><Relationship Id="rId53" Type="http://schemas.openxmlformats.org/officeDocument/2006/relationships/hyperlink" Target="http://portal.chmi.cz/files/portal/docs/uoco/isko/grafroc/grafroc_CZ.html" TargetMode="External"/><Relationship Id="rId58" Type="http://schemas.openxmlformats.org/officeDocument/2006/relationships/hyperlink" Target="http://portal.chmi.cz/files/portal/docs/uoco/oez/emisnibilance_CZ.html" TargetMode="External"/><Relationship Id="rId66" Type="http://schemas.openxmlformats.org/officeDocument/2006/relationships/hyperlink" Target="http://portal.chmi.cz/files/portal/docs/uoco/oez/emisnibilance_CZ.html" TargetMode="External"/><Relationship Id="rId74" Type="http://schemas.openxmlformats.org/officeDocument/2006/relationships/hyperlink" Target="http://www.opzp.cz/sekce/522/vyrocni-zprav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zp.cz/cz/statisticka_rocenka_zivotniho_prostredi_publikace" TargetMode="External"/><Relationship Id="rId23" Type="http://schemas.openxmlformats.org/officeDocument/2006/relationships/hyperlink" Target="http://www.mzp.cz/cz/statisticka_rocenka_zivotniho_prostredi_publikace" TargetMode="External"/><Relationship Id="rId28" Type="http://schemas.openxmlformats.org/officeDocument/2006/relationships/hyperlink" Target="http://www.opzp.cz/sekce/522/vyrocni-zpravy/" TargetMode="External"/><Relationship Id="rId36" Type="http://schemas.openxmlformats.org/officeDocument/2006/relationships/hyperlink" Target="http://www.opzp.cz/sekce/522/vyrocni-zpravy/" TargetMode="External"/><Relationship Id="rId49" Type="http://schemas.openxmlformats.org/officeDocument/2006/relationships/hyperlink" Target="http://portal.chmi.cz/files/portal/docs/uoco/isko/grafroc/grafroc_CZ.html" TargetMode="External"/><Relationship Id="rId57" Type="http://schemas.openxmlformats.org/officeDocument/2006/relationships/hyperlink" Target="http://portal.chmi.cz/files/portal/docs/uoco/isko/grafroc/grafroc_CZ.html" TargetMode="External"/><Relationship Id="rId61" Type="http://schemas.openxmlformats.org/officeDocument/2006/relationships/hyperlink" Target="http://portal.chmi.cz/files/portal/docs/uoco/isko/grafroc/grafroc_CZ.html" TargetMode="External"/><Relationship Id="rId10" Type="http://schemas.openxmlformats.org/officeDocument/2006/relationships/hyperlink" Target="http://eagri.cz/public/web/mze/voda/osveta-a-publikace/publikace-a-dokumenty/vodovody-a-kanalizace/" TargetMode="External"/><Relationship Id="rId19" Type="http://schemas.openxmlformats.org/officeDocument/2006/relationships/hyperlink" Target="http://www.mzp.cz/cz/statisticka_rocenka_zivotniho_prostredi_publikace" TargetMode="External"/><Relationship Id="rId31" Type="http://schemas.openxmlformats.org/officeDocument/2006/relationships/hyperlink" Target="http://www.mzp.cz/cz/statisticka_rocenka_zivotniho_prostredi_publikace" TargetMode="External"/><Relationship Id="rId44" Type="http://schemas.openxmlformats.org/officeDocument/2006/relationships/hyperlink" Target="http://www.opzp.cz/sekce/522/vyrocni-zpravy/" TargetMode="External"/><Relationship Id="rId52" Type="http://schemas.openxmlformats.org/officeDocument/2006/relationships/hyperlink" Target="http://www.opzp.cz/sekce/522/vyrocni-zpravy/" TargetMode="External"/><Relationship Id="rId60" Type="http://schemas.openxmlformats.org/officeDocument/2006/relationships/hyperlink" Target="http://www.opzp.cz/sekce/522/vyrocni-zpravy/" TargetMode="External"/><Relationship Id="rId65" Type="http://schemas.openxmlformats.org/officeDocument/2006/relationships/hyperlink" Target="http://portal.chmi.cz/files/portal/docs/uoco/isko/grafroc/grafroc_CZ.html" TargetMode="External"/><Relationship Id="rId73" Type="http://schemas.openxmlformats.org/officeDocument/2006/relationships/hyperlink" Target="http://www.mzp.cz/cz/statisticka_rocenka_zivotniho_prostredi_publikace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agri.cz/public/web/mze/voda/osveta-a-publikace/publikace-a-dokumenty/modre-zpravy/" TargetMode="External"/><Relationship Id="rId14" Type="http://schemas.openxmlformats.org/officeDocument/2006/relationships/hyperlink" Target="http://eagri.cz/public/web/mze/voda/osveta-a-publikace/publikace-a-dokumenty/vodovody-a-kanalizace/" TargetMode="External"/><Relationship Id="rId22" Type="http://schemas.openxmlformats.org/officeDocument/2006/relationships/hyperlink" Target="http://eagri.cz/public/web/mze/voda/osveta-a-publikace/publikace-a-dokumenty/vodovody-a-kanalizace/" TargetMode="External"/><Relationship Id="rId27" Type="http://schemas.openxmlformats.org/officeDocument/2006/relationships/hyperlink" Target="http://www.mzp.cz/cz/statisticka_rocenka_zivotniho_prostredi_publikace" TargetMode="External"/><Relationship Id="rId30" Type="http://schemas.openxmlformats.org/officeDocument/2006/relationships/hyperlink" Target="http://eagri.cz/public/web/mze/voda/osveta-a-publikace/publikace-a-dokumenty/vodovody-a-kanalizace/" TargetMode="External"/><Relationship Id="rId35" Type="http://schemas.openxmlformats.org/officeDocument/2006/relationships/hyperlink" Target="http://www.mzp.cz/cz/statisticka_rocenka_zivotniho_prostredi_publikace" TargetMode="External"/><Relationship Id="rId43" Type="http://schemas.openxmlformats.org/officeDocument/2006/relationships/hyperlink" Target="http://www.mzp.cz/cz/statisticka_rocenka_zivotniho_prostredi_publikace" TargetMode="External"/><Relationship Id="rId48" Type="http://schemas.openxmlformats.org/officeDocument/2006/relationships/hyperlink" Target="http://www.opzp.cz/sekce/522/vyrocni-zpravy/" TargetMode="External"/><Relationship Id="rId56" Type="http://schemas.openxmlformats.org/officeDocument/2006/relationships/hyperlink" Target="http://www.opzp.cz/sekce/522/vyrocni-zpravy/" TargetMode="External"/><Relationship Id="rId64" Type="http://schemas.openxmlformats.org/officeDocument/2006/relationships/hyperlink" Target="http://www.opzp.cz/sekce/522/vyrocni-zpravy/" TargetMode="External"/><Relationship Id="rId69" Type="http://schemas.openxmlformats.org/officeDocument/2006/relationships/hyperlink" Target="http://www.mzp.cz/cz/statisticka_rocenka_zivotniho_prostredi_publikac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www.opzp.cz/sekce/522/vyrocni-zpravy/" TargetMode="External"/><Relationship Id="rId51" Type="http://schemas.openxmlformats.org/officeDocument/2006/relationships/hyperlink" Target="http://www.mzp.cz/cz/statisticka_rocenka_zivotniho_prostredi_publikace" TargetMode="External"/><Relationship Id="rId72" Type="http://schemas.openxmlformats.org/officeDocument/2006/relationships/hyperlink" Target="http://www.opzp.cz/sekce/522/vyrocni-zpravy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opzp.cz/sekce/522/vyrocni-zpravy/" TargetMode="External"/><Relationship Id="rId17" Type="http://schemas.openxmlformats.org/officeDocument/2006/relationships/hyperlink" Target="http://eagri.cz/public/web/mze/voda/osveta-a-publikace/publikace-a-dokumenty/modre-zpravy/" TargetMode="External"/><Relationship Id="rId25" Type="http://schemas.openxmlformats.org/officeDocument/2006/relationships/hyperlink" Target="http://eagri.cz/public/web/mze/voda/osveta-a-publikace/publikace-a-dokumenty/modre-zpravy/" TargetMode="External"/><Relationship Id="rId33" Type="http://schemas.openxmlformats.org/officeDocument/2006/relationships/hyperlink" Target="http://eagri.cz/public/web/mze/voda/osveta-a-publikace/publikace-a-dokumenty/modre-zpravy/" TargetMode="External"/><Relationship Id="rId38" Type="http://schemas.openxmlformats.org/officeDocument/2006/relationships/hyperlink" Target="http://eagri.cz/public/web/mze/voda/osveta-a-publikace/publikace-a-dokumenty/vodovody-a-kanalizace/" TargetMode="External"/><Relationship Id="rId46" Type="http://schemas.openxmlformats.org/officeDocument/2006/relationships/hyperlink" Target="http://portal.chmi.cz/files/portal/docs/uoco/oez/emisnibilance_CZ.html" TargetMode="External"/><Relationship Id="rId59" Type="http://schemas.openxmlformats.org/officeDocument/2006/relationships/hyperlink" Target="http://www.mzp.cz/cz/statisticka_rocenka_zivotniho_prostredi_publikace" TargetMode="External"/><Relationship Id="rId67" Type="http://schemas.openxmlformats.org/officeDocument/2006/relationships/hyperlink" Target="http://www.mzp.cz/cz/statisticka_rocenka_zivotniho_prostredi_publikace" TargetMode="External"/><Relationship Id="rId20" Type="http://schemas.openxmlformats.org/officeDocument/2006/relationships/hyperlink" Target="http://www.opzp.cz/sekce/522/vyrocni-zpravy/" TargetMode="External"/><Relationship Id="rId41" Type="http://schemas.openxmlformats.org/officeDocument/2006/relationships/hyperlink" Target="http://eagri.cz/public/web/mze/voda/osveta-a-publikace/publikace-a-dokumenty/modre-zpravy/" TargetMode="External"/><Relationship Id="rId54" Type="http://schemas.openxmlformats.org/officeDocument/2006/relationships/hyperlink" Target="http://portal.chmi.cz/files/portal/docs/uoco/oez/emisnibilance_CZ.html" TargetMode="External"/><Relationship Id="rId62" Type="http://schemas.openxmlformats.org/officeDocument/2006/relationships/hyperlink" Target="http://portal.chmi.cz/files/portal/docs/uoco/oez/emisnibilance_CZ.html" TargetMode="External"/><Relationship Id="rId70" Type="http://schemas.openxmlformats.org/officeDocument/2006/relationships/hyperlink" Target="http://www.opzp.cz/sekce/522/vyrocni-zpravy/" TargetMode="External"/><Relationship Id="rId75" Type="http://schemas.openxmlformats.org/officeDocument/2006/relationships/hyperlink" Target="http://portal.chmi.cz/files/portal/docs/uoco/oez/nis/nis_uv_cz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7281D-AFB9-4C8B-8E3B-634F7B34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55</Pages>
  <Words>12680</Words>
  <Characters>74813</Characters>
  <Application>Microsoft Office Word</Application>
  <DocSecurity>0</DocSecurity>
  <Lines>623</Lines>
  <Paragraphs>174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87319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</dc:creator>
  <cp:lastModifiedBy>user</cp:lastModifiedBy>
  <cp:revision>7</cp:revision>
  <dcterms:created xsi:type="dcterms:W3CDTF">2014-11-20T14:05:00Z</dcterms:created>
  <dcterms:modified xsi:type="dcterms:W3CDTF">2014-12-09T11:28:00Z</dcterms:modified>
</cp:coreProperties>
</file>